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9D77F3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9F7767">
        <w:rPr>
          <w:rFonts w:cs="Arial"/>
          <w:b/>
          <w:sz w:val="24"/>
          <w:szCs w:val="24"/>
        </w:rPr>
        <w:t>0498</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E6C0C4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64869" w:rsidRPr="00164869">
        <w:rPr>
          <w:rFonts w:cs="Arial"/>
          <w:sz w:val="22"/>
        </w:rPr>
        <w:t>Requirement and signaling aspect of non-contiguous ULCA</w:t>
      </w:r>
    </w:p>
    <w:p w14:paraId="5E8A96B5" w14:textId="5CDB55BD"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64869" w:rsidRPr="00164869">
        <w:rPr>
          <w:rFonts w:ascii="Arial" w:hAnsi="Arial" w:cs="Arial"/>
          <w:sz w:val="22"/>
        </w:rPr>
        <w:t>6.3.2.</w:t>
      </w:r>
      <w:r w:rsidR="00C75508">
        <w:rPr>
          <w:rFonts w:ascii="Arial" w:hAnsi="Arial" w:cs="Arial"/>
          <w:sz w:val="22"/>
        </w:rPr>
        <w:t>3</w:t>
      </w:r>
      <w:r w:rsidR="00164869" w:rsidRPr="00164869">
        <w:rPr>
          <w:rFonts w:ascii="Arial" w:hAnsi="Arial" w:cs="Arial"/>
          <w:sz w:val="22"/>
        </w:rPr>
        <w:t xml:space="preserve"> HPUE for TDD intra-band non-contiguous UL CA [NR_RF_FR1_enh-Core]</w:t>
      </w:r>
    </w:p>
    <w:p w14:paraId="2E5C6AEA" w14:textId="05C496C4"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504A195"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BE6454">
        <w:rPr>
          <w:rFonts w:eastAsia="SimSun"/>
          <w:lang w:eastAsia="zh-CN"/>
        </w:rPr>
        <w:t>R</w:t>
      </w:r>
      <w:r w:rsidR="00C75508">
        <w:rPr>
          <w:rFonts w:eastAsia="SimSun"/>
          <w:lang w:eastAsia="zh-CN"/>
        </w:rPr>
        <w:t>4#101</w:t>
      </w:r>
      <w:r w:rsidR="00BE6454">
        <w:rPr>
          <w:rFonts w:eastAsia="SimSun"/>
          <w:lang w:eastAsia="zh-CN"/>
        </w:rPr>
        <w:t xml:space="preserve"> </w:t>
      </w:r>
      <w:r w:rsidR="00C75508">
        <w:rPr>
          <w:rFonts w:eastAsia="SimSun"/>
          <w:lang w:eastAsia="zh-CN"/>
        </w:rPr>
        <w:t>e-</w:t>
      </w:r>
      <w:r w:rsidR="00BE6454">
        <w:rPr>
          <w:rFonts w:eastAsia="SimSun"/>
          <w:lang w:eastAsia="zh-CN"/>
        </w:rPr>
        <w:t xml:space="preserve">meetings, </w:t>
      </w:r>
      <w:r w:rsidR="00C75508">
        <w:rPr>
          <w:rFonts w:eastAsia="SimSun"/>
          <w:lang w:eastAsia="zh-CN"/>
        </w:rPr>
        <w:t>PC2 non-contiguous ULCA MPR for 1LO architectures were agreed in [1], there was also an open aspect on how to differentiate 1LO and 2LO architectures that have a different MPR requirement</w:t>
      </w:r>
      <w:r w:rsidR="00842311">
        <w:rPr>
          <w:rFonts w:eastAsia="SimSun"/>
          <w:lang w:eastAsia="zh-CN"/>
        </w:rPr>
        <w:t>. In this contribution</w:t>
      </w:r>
      <w:r w:rsidR="00ED318E">
        <w:rPr>
          <w:rFonts w:eastAsia="SimSun"/>
          <w:lang w:eastAsia="zh-CN"/>
        </w:rPr>
        <w:t>,</w:t>
      </w:r>
      <w:r w:rsidR="00842311">
        <w:rPr>
          <w:rFonts w:eastAsia="SimSun"/>
          <w:lang w:eastAsia="zh-CN"/>
        </w:rPr>
        <w:t xml:space="preserve"> we </w:t>
      </w:r>
      <w:r w:rsidR="00ED318E">
        <w:rPr>
          <w:rFonts w:eastAsia="SimSun"/>
          <w:lang w:eastAsia="zh-CN"/>
        </w:rPr>
        <w:t>provide</w:t>
      </w:r>
      <w:r w:rsidR="00842311">
        <w:rPr>
          <w:rFonts w:eastAsia="SimSun"/>
          <w:lang w:eastAsia="zh-CN"/>
        </w:rPr>
        <w:t xml:space="preserve"> further clarification </w:t>
      </w:r>
      <w:r w:rsidR="00ED318E">
        <w:rPr>
          <w:rFonts w:eastAsia="SimSun"/>
          <w:lang w:eastAsia="zh-CN"/>
        </w:rPr>
        <w:t xml:space="preserve">on </w:t>
      </w:r>
      <w:r w:rsidR="00842311">
        <w:rPr>
          <w:rFonts w:eastAsia="SimSun"/>
          <w:lang w:eastAsia="zh-CN"/>
        </w:rPr>
        <w:t>related signaling aspects</w:t>
      </w:r>
      <w:r w:rsidR="00C75508">
        <w:rPr>
          <w:rFonts w:eastAsia="SimSun"/>
          <w:lang w:eastAsia="zh-CN"/>
        </w:rPr>
        <w:t xml:space="preserve"> and related 1CC fall backs</w:t>
      </w:r>
      <w:r w:rsidR="00842311">
        <w:rPr>
          <w:rFonts w:eastAsia="SimSun"/>
          <w:lang w:eastAsia="zh-CN"/>
        </w:rPr>
        <w:t>.</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4E6EEFAB" w14:textId="7FEB8EA4" w:rsidR="005C32A9" w:rsidRDefault="004F3C3D" w:rsidP="00223174">
      <w:pPr>
        <w:pStyle w:val="Heading2"/>
        <w:spacing w:after="240"/>
        <w:rPr>
          <w:lang w:eastAsia="zh-CN"/>
        </w:rPr>
      </w:pPr>
      <w:r>
        <w:rPr>
          <w:lang w:eastAsia="zh-CN"/>
        </w:rPr>
        <w:t xml:space="preserve">Signalling 1LO or 2LO </w:t>
      </w:r>
      <w:r w:rsidR="00BC542B">
        <w:rPr>
          <w:lang w:eastAsia="zh-CN"/>
        </w:rPr>
        <w:t>N</w:t>
      </w:r>
      <w:r w:rsidR="00026936">
        <w:rPr>
          <w:lang w:eastAsia="zh-CN"/>
        </w:rPr>
        <w:t>on-contiguous UL CA</w:t>
      </w:r>
    </w:p>
    <w:p w14:paraId="46D95FA6" w14:textId="02D6D8F1" w:rsidR="004F3C3D" w:rsidRPr="004F3C3D" w:rsidRDefault="00026936" w:rsidP="004F3C3D">
      <w:pPr>
        <w:spacing w:after="0"/>
        <w:rPr>
          <w:b/>
          <w:iCs/>
        </w:rPr>
      </w:pPr>
      <w:r w:rsidRPr="004F3C3D">
        <w:rPr>
          <w:lang w:val="en-GB" w:eastAsia="zh-CN"/>
        </w:rPr>
        <w:t>With the agreements achieved in [</w:t>
      </w:r>
      <w:r w:rsidR="00A1676F">
        <w:rPr>
          <w:lang w:val="en-GB" w:eastAsia="zh-CN"/>
        </w:rPr>
        <w:t>1</w:t>
      </w:r>
      <w:r w:rsidRPr="004F3C3D">
        <w:rPr>
          <w:lang w:val="en-GB" w:eastAsia="zh-CN"/>
        </w:rPr>
        <w:t xml:space="preserve">], the only aspect to be distinguished for MPR is whether </w:t>
      </w:r>
      <w:r w:rsidR="00D84157">
        <w:rPr>
          <w:lang w:val="en-GB" w:eastAsia="zh-CN"/>
        </w:rPr>
        <w:t>to use</w:t>
      </w:r>
      <w:r w:rsidRPr="004F3C3D">
        <w:rPr>
          <w:lang w:val="en-GB" w:eastAsia="zh-CN"/>
        </w:rPr>
        <w:t xml:space="preserve"> 1LO or 2LO (</w:t>
      </w:r>
      <w:r w:rsidR="00D84157">
        <w:rPr>
          <w:lang w:val="en-GB" w:eastAsia="zh-CN"/>
        </w:rPr>
        <w:t xml:space="preserve">in this case, </w:t>
      </w:r>
      <w:r w:rsidRPr="004F3C3D">
        <w:rPr>
          <w:lang w:val="en-GB" w:eastAsia="zh-CN"/>
        </w:rPr>
        <w:t>number of LO mean</w:t>
      </w:r>
      <w:r w:rsidR="00D84157">
        <w:rPr>
          <w:lang w:val="en-GB" w:eastAsia="zh-CN"/>
        </w:rPr>
        <w:t>s</w:t>
      </w:r>
      <w:r w:rsidRPr="004F3C3D">
        <w:rPr>
          <w:lang w:val="en-GB" w:eastAsia="zh-CN"/>
        </w:rPr>
        <w:t xml:space="preserve"> the number of different LO frequencies). In [</w:t>
      </w:r>
      <w:r w:rsidR="00A1676F">
        <w:rPr>
          <w:lang w:val="en-GB" w:eastAsia="zh-CN"/>
        </w:rPr>
        <w:t>1</w:t>
      </w:r>
      <w:r w:rsidRPr="004F3C3D">
        <w:rPr>
          <w:lang w:val="en-GB" w:eastAsia="zh-CN"/>
        </w:rPr>
        <w:t>]</w:t>
      </w:r>
      <w:r w:rsidR="00FD60E8" w:rsidRPr="004F3C3D">
        <w:rPr>
          <w:lang w:val="en-GB" w:eastAsia="zh-CN"/>
        </w:rPr>
        <w:t>,</w:t>
      </w:r>
      <w:r w:rsidRPr="004F3C3D">
        <w:rPr>
          <w:lang w:val="en-GB" w:eastAsia="zh-CN"/>
        </w:rPr>
        <w:t xml:space="preserve"> it was agreed to use </w:t>
      </w:r>
      <w:proofErr w:type="spellStart"/>
      <w:r w:rsidR="00C94088" w:rsidRPr="004F3C3D">
        <w:rPr>
          <w:i/>
          <w:iCs/>
        </w:rPr>
        <w:t>dualPA</w:t>
      </w:r>
      <w:proofErr w:type="spellEnd"/>
      <w:r w:rsidR="00C94088" w:rsidRPr="004F3C3D">
        <w:rPr>
          <w:i/>
          <w:iCs/>
        </w:rPr>
        <w:t xml:space="preserve">-Architecture </w:t>
      </w:r>
      <w:r w:rsidR="00C94088" w:rsidRPr="004F3C3D">
        <w:rPr>
          <w:iCs/>
        </w:rPr>
        <w:t>IE</w:t>
      </w:r>
      <w:r w:rsidR="00D84157">
        <w:rPr>
          <w:iCs/>
        </w:rPr>
        <w:t>,</w:t>
      </w:r>
      <w:r w:rsidR="00C94088" w:rsidRPr="004F3C3D">
        <w:rPr>
          <w:iCs/>
        </w:rPr>
        <w:t xml:space="preserve"> </w:t>
      </w:r>
      <w:r w:rsidR="00D84157">
        <w:rPr>
          <w:iCs/>
        </w:rPr>
        <w:t>however</w:t>
      </w:r>
      <w:r w:rsidR="00C94088" w:rsidRPr="004F3C3D">
        <w:rPr>
          <w:iCs/>
        </w:rPr>
        <w:t xml:space="preserve"> use of </w:t>
      </w:r>
      <w:r w:rsidR="00C94088" w:rsidRPr="004F3C3D">
        <w:rPr>
          <w:i/>
          <w:iCs/>
        </w:rPr>
        <w:t xml:space="preserve">uplinkTxDC-TwoCarrierReport-r16 </w:t>
      </w:r>
      <w:r w:rsidR="00C94088" w:rsidRPr="004F3C3D">
        <w:rPr>
          <w:iCs/>
        </w:rPr>
        <w:t>was not precluded. Given that the actual difference is not related to the number of PAs</w:t>
      </w:r>
      <w:r w:rsidR="00FD60E8" w:rsidRPr="004F3C3D">
        <w:rPr>
          <w:iCs/>
        </w:rPr>
        <w:t>,</w:t>
      </w:r>
      <w:r w:rsidR="00C94088" w:rsidRPr="004F3C3D">
        <w:rPr>
          <w:iCs/>
        </w:rPr>
        <w:t xml:space="preserve"> but rather to the number of LO frequencies, </w:t>
      </w:r>
      <w:r w:rsidR="00C94088" w:rsidRPr="004F3C3D">
        <w:rPr>
          <w:i/>
          <w:iCs/>
        </w:rPr>
        <w:t xml:space="preserve">uplinkTxDC-TwoCarrierReport-r16 </w:t>
      </w:r>
      <w:r w:rsidR="00FD60E8" w:rsidRPr="004F3C3D">
        <w:rPr>
          <w:iCs/>
        </w:rPr>
        <w:t>seems</w:t>
      </w:r>
      <w:r w:rsidR="00C94088" w:rsidRPr="004F3C3D">
        <w:rPr>
          <w:iCs/>
        </w:rPr>
        <w:t xml:space="preserve"> more appropriate.</w:t>
      </w:r>
      <w:r w:rsidR="004F3C3D" w:rsidRPr="004F3C3D">
        <w:rPr>
          <w:b/>
        </w:rPr>
        <w:t xml:space="preserve"> </w:t>
      </w:r>
    </w:p>
    <w:p w14:paraId="109E6A2F" w14:textId="77777777" w:rsidR="004F3C3D" w:rsidRPr="004F3C3D" w:rsidRDefault="004F3C3D" w:rsidP="004F3C3D">
      <w:pPr>
        <w:spacing w:after="0"/>
        <w:rPr>
          <w:b/>
          <w:iCs/>
        </w:rPr>
      </w:pPr>
    </w:p>
    <w:p w14:paraId="57A40A41" w14:textId="77777777" w:rsidR="004F3C3D" w:rsidRDefault="004F3C3D" w:rsidP="004F3C3D">
      <w:pPr>
        <w:spacing w:after="0"/>
        <w:rPr>
          <w:b/>
        </w:rPr>
      </w:pPr>
      <w:r>
        <w:rPr>
          <w:b/>
        </w:rPr>
        <w:t>Proposal on 1LO/2LO signaling:</w:t>
      </w:r>
    </w:p>
    <w:p w14:paraId="07F829F0" w14:textId="36EE5E1E" w:rsidR="004F3C3D" w:rsidRPr="004F3C3D" w:rsidRDefault="004F3C3D" w:rsidP="004F3C3D">
      <w:pPr>
        <w:pStyle w:val="ListParagraph"/>
        <w:numPr>
          <w:ilvl w:val="0"/>
          <w:numId w:val="35"/>
        </w:numPr>
        <w:spacing w:after="0"/>
        <w:rPr>
          <w:b/>
          <w:iCs/>
        </w:rPr>
      </w:pPr>
      <w:r w:rsidRPr="004F3C3D">
        <w:rPr>
          <w:b/>
        </w:rPr>
        <w:t xml:space="preserve">1LO and 2LO cases are differentiated by using </w:t>
      </w:r>
      <w:r w:rsidRPr="004F3C3D">
        <w:rPr>
          <w:b/>
          <w:i/>
          <w:iCs/>
        </w:rPr>
        <w:t xml:space="preserve">uplinkTxDC-TwoCarrierReport-r16 </w:t>
      </w:r>
      <w:r w:rsidRPr="004F3C3D">
        <w:rPr>
          <w:b/>
          <w:iCs/>
        </w:rPr>
        <w:t>rather than</w:t>
      </w:r>
      <w:r w:rsidRPr="004F3C3D">
        <w:rPr>
          <w:b/>
          <w:i/>
          <w:iCs/>
        </w:rPr>
        <w:t xml:space="preserve"> </w:t>
      </w:r>
      <w:proofErr w:type="spellStart"/>
      <w:r w:rsidRPr="004F3C3D">
        <w:rPr>
          <w:b/>
          <w:i/>
        </w:rPr>
        <w:t>dualPA</w:t>
      </w:r>
      <w:proofErr w:type="spellEnd"/>
      <w:r w:rsidRPr="004F3C3D">
        <w:rPr>
          <w:b/>
          <w:i/>
        </w:rPr>
        <w:t>-Architecture</w:t>
      </w:r>
      <w:r>
        <w:rPr>
          <w:b/>
          <w:i/>
        </w:rPr>
        <w:t xml:space="preserve"> </w:t>
      </w:r>
      <w:r w:rsidRPr="004F3C3D">
        <w:rPr>
          <w:b/>
        </w:rPr>
        <w:t>for both PC3 and PC2</w:t>
      </w:r>
    </w:p>
    <w:p w14:paraId="2D9A7840" w14:textId="439E9325" w:rsidR="004F3C3D" w:rsidRPr="004F3C3D" w:rsidRDefault="004F3C3D" w:rsidP="004F3C3D">
      <w:pPr>
        <w:pStyle w:val="ListParagraph"/>
        <w:numPr>
          <w:ilvl w:val="0"/>
          <w:numId w:val="35"/>
        </w:numPr>
        <w:spacing w:after="0"/>
        <w:rPr>
          <w:b/>
          <w:iCs/>
        </w:rPr>
      </w:pPr>
      <w:r w:rsidRPr="004F3C3D">
        <w:rPr>
          <w:b/>
          <w:i/>
          <w:iCs/>
        </w:rPr>
        <w:t>uplinkTxDC-TwoCarrierReport-r16</w:t>
      </w:r>
      <w:r>
        <w:rPr>
          <w:b/>
          <w:i/>
          <w:iCs/>
        </w:rPr>
        <w:t xml:space="preserve"> </w:t>
      </w:r>
      <w:r w:rsidRPr="004F3C3D">
        <w:rPr>
          <w:b/>
          <w:iCs/>
        </w:rPr>
        <w:t xml:space="preserve">is </w:t>
      </w:r>
      <w:r>
        <w:rPr>
          <w:b/>
          <w:iCs/>
        </w:rPr>
        <w:t>reported</w:t>
      </w:r>
      <w:r w:rsidRPr="004F3C3D">
        <w:rPr>
          <w:b/>
          <w:iCs/>
        </w:rPr>
        <w:t xml:space="preserve"> for the 2LO</w:t>
      </w:r>
      <w:r>
        <w:rPr>
          <w:b/>
          <w:iCs/>
        </w:rPr>
        <w:t xml:space="preserve"> PC3</w:t>
      </w:r>
      <w:r w:rsidR="00A1676F">
        <w:rPr>
          <w:b/>
          <w:iCs/>
        </w:rPr>
        <w:t xml:space="preserve"> and</w:t>
      </w:r>
      <w:r w:rsidRPr="004F3C3D">
        <w:rPr>
          <w:b/>
          <w:iCs/>
        </w:rPr>
        <w:t xml:space="preserve"> </w:t>
      </w:r>
      <w:r>
        <w:rPr>
          <w:b/>
          <w:iCs/>
        </w:rPr>
        <w:t xml:space="preserve">MPR in sections </w:t>
      </w:r>
      <w:r w:rsidRPr="007D57D6">
        <w:rPr>
          <w:b/>
          <w:iCs/>
        </w:rPr>
        <w:t>6.2A.2.2.1</w:t>
      </w:r>
      <w:r>
        <w:rPr>
          <w:b/>
          <w:iCs/>
        </w:rPr>
        <w:t xml:space="preserve"> and </w:t>
      </w:r>
      <w:r w:rsidRPr="007D57D6">
        <w:rPr>
          <w:b/>
          <w:iCs/>
        </w:rPr>
        <w:t>6.2A.2.2.1</w:t>
      </w:r>
      <w:r>
        <w:rPr>
          <w:b/>
          <w:iCs/>
        </w:rPr>
        <w:t xml:space="preserve"> and PC2 MPR in section 3.3 of way forward R4-2114948</w:t>
      </w:r>
    </w:p>
    <w:p w14:paraId="38B59DAC" w14:textId="55C9FAA8" w:rsidR="00A1676F" w:rsidRPr="00A1676F" w:rsidRDefault="004F3C3D" w:rsidP="00A1676F">
      <w:pPr>
        <w:pStyle w:val="ListParagraph"/>
        <w:numPr>
          <w:ilvl w:val="0"/>
          <w:numId w:val="35"/>
        </w:numPr>
        <w:spacing w:after="0"/>
        <w:rPr>
          <w:b/>
          <w:iCs/>
        </w:rPr>
      </w:pPr>
      <w:proofErr w:type="gramStart"/>
      <w:r w:rsidRPr="004F3C3D">
        <w:rPr>
          <w:b/>
          <w:i/>
          <w:iCs/>
        </w:rPr>
        <w:t>uplinkTxDC-TwoCarrierReport-r16</w:t>
      </w:r>
      <w:proofErr w:type="gramEnd"/>
      <w:r>
        <w:rPr>
          <w:b/>
          <w:i/>
          <w:iCs/>
        </w:rPr>
        <w:t xml:space="preserve"> </w:t>
      </w:r>
      <w:r w:rsidRPr="004F3C3D">
        <w:rPr>
          <w:b/>
          <w:iCs/>
        </w:rPr>
        <w:t xml:space="preserve">is </w:t>
      </w:r>
      <w:r>
        <w:rPr>
          <w:b/>
          <w:iCs/>
        </w:rPr>
        <w:t>not reported</w:t>
      </w:r>
      <w:r w:rsidRPr="004F3C3D">
        <w:rPr>
          <w:b/>
          <w:iCs/>
        </w:rPr>
        <w:t xml:space="preserve"> for the </w:t>
      </w:r>
      <w:r>
        <w:rPr>
          <w:b/>
          <w:iCs/>
        </w:rPr>
        <w:t>1</w:t>
      </w:r>
      <w:r w:rsidRPr="004F3C3D">
        <w:rPr>
          <w:b/>
          <w:iCs/>
        </w:rPr>
        <w:t>LO</w:t>
      </w:r>
      <w:r>
        <w:rPr>
          <w:b/>
          <w:iCs/>
        </w:rPr>
        <w:t xml:space="preserve"> </w:t>
      </w:r>
      <w:r w:rsidR="00A1676F">
        <w:rPr>
          <w:b/>
          <w:iCs/>
        </w:rPr>
        <w:t>architectures using 1PA (</w:t>
      </w:r>
      <w:proofErr w:type="spellStart"/>
      <w:r w:rsidR="00A1676F" w:rsidRPr="00553A75">
        <w:rPr>
          <w:b/>
          <w:i/>
          <w:iCs/>
        </w:rPr>
        <w:t>TxD</w:t>
      </w:r>
      <w:proofErr w:type="spellEnd"/>
      <w:r w:rsidR="00A1676F">
        <w:rPr>
          <w:b/>
          <w:iCs/>
        </w:rPr>
        <w:t xml:space="preserve"> is not signaled) or 2x1/2 (</w:t>
      </w:r>
      <w:proofErr w:type="spellStart"/>
      <w:r w:rsidR="00A1676F" w:rsidRPr="00553A75">
        <w:rPr>
          <w:b/>
          <w:i/>
          <w:iCs/>
        </w:rPr>
        <w:t>TxD</w:t>
      </w:r>
      <w:proofErr w:type="spellEnd"/>
      <w:r w:rsidR="00A1676F">
        <w:rPr>
          <w:b/>
          <w:iCs/>
        </w:rPr>
        <w:t xml:space="preserve"> is signaled) and </w:t>
      </w:r>
      <w:r>
        <w:rPr>
          <w:b/>
          <w:iCs/>
        </w:rPr>
        <w:t>PC2</w:t>
      </w:r>
      <w:r w:rsidRPr="004F3C3D">
        <w:rPr>
          <w:b/>
          <w:iCs/>
        </w:rPr>
        <w:t xml:space="preserve"> </w:t>
      </w:r>
      <w:r>
        <w:rPr>
          <w:b/>
          <w:iCs/>
        </w:rPr>
        <w:t>MPR</w:t>
      </w:r>
      <w:r w:rsidR="00A1676F">
        <w:rPr>
          <w:b/>
          <w:iCs/>
        </w:rPr>
        <w:t xml:space="preserve"> in section 1.3 of way forward R4-2119955 applies</w:t>
      </w:r>
      <w:r w:rsidR="001A4213">
        <w:rPr>
          <w:b/>
          <w:iCs/>
        </w:rPr>
        <w:t>.</w:t>
      </w:r>
    </w:p>
    <w:p w14:paraId="0A54E9D6" w14:textId="738B4F2D" w:rsidR="00A1676F" w:rsidRDefault="00150C38" w:rsidP="00A1676F">
      <w:pPr>
        <w:pStyle w:val="Heading2"/>
        <w:spacing w:after="240"/>
        <w:rPr>
          <w:lang w:eastAsia="zh-CN"/>
        </w:rPr>
      </w:pPr>
      <w:r>
        <w:rPr>
          <w:lang w:eastAsia="zh-CN"/>
        </w:rPr>
        <w:t xml:space="preserve">One </w:t>
      </w:r>
      <w:r w:rsidR="00A1676F">
        <w:rPr>
          <w:lang w:eastAsia="zh-CN"/>
        </w:rPr>
        <w:t>CC fall-back for Non-contiguous UL CA</w:t>
      </w:r>
    </w:p>
    <w:p w14:paraId="4C579D25" w14:textId="706D264E" w:rsidR="00B2233B" w:rsidRDefault="00B2233B" w:rsidP="00B2233B">
      <w:pPr>
        <w:rPr>
          <w:lang w:eastAsia="zh-CN"/>
        </w:rPr>
      </w:pPr>
      <w:r>
        <w:rPr>
          <w:lang w:val="en-GB" w:eastAsia="zh-CN"/>
        </w:rPr>
        <w:t>In 38.101-1, for non-contiguous UL CA there is no clear statement on what MPR should apply when there is RB allocation in only one of the CC. The non-contiguous ULCA MPR is based on the RB BW and whether the 3</w:t>
      </w:r>
      <w:r w:rsidRPr="00B2233B">
        <w:rPr>
          <w:vertAlign w:val="superscript"/>
          <w:lang w:val="en-GB" w:eastAsia="zh-CN"/>
        </w:rPr>
        <w:t>rd</w:t>
      </w:r>
      <w:r>
        <w:rPr>
          <w:lang w:val="en-GB" w:eastAsia="zh-CN"/>
        </w:rPr>
        <w:t xml:space="preserve"> order IMD of the RB allocations in both CCs falls in the -25dBm/MHz or -30dBm/MHz regions of the composite SEM mask or spurious emissions (section </w:t>
      </w:r>
      <w:r w:rsidRPr="00A1115A">
        <w:rPr>
          <w:rFonts w:hint="eastAsia"/>
          <w:lang w:eastAsia="zh-CN"/>
        </w:rPr>
        <w:t>6.</w:t>
      </w:r>
      <w:r w:rsidRPr="00A1115A">
        <w:rPr>
          <w:lang w:eastAsia="zh-CN"/>
        </w:rPr>
        <w:t>2A.2.2.1</w:t>
      </w:r>
      <w:r>
        <w:rPr>
          <w:lang w:eastAsia="zh-CN"/>
        </w:rPr>
        <w:t xml:space="preserve">) or the -10 or -13dBm/MHz regions </w:t>
      </w:r>
      <w:r>
        <w:rPr>
          <w:lang w:val="en-GB" w:eastAsia="zh-CN"/>
        </w:rPr>
        <w:t>of the composite SEM mask (</w:t>
      </w:r>
      <w:r w:rsidRPr="00A1115A">
        <w:rPr>
          <w:rFonts w:hint="eastAsia"/>
          <w:lang w:eastAsia="zh-CN"/>
        </w:rPr>
        <w:t>6.</w:t>
      </w:r>
      <w:r w:rsidRPr="00A1115A">
        <w:rPr>
          <w:lang w:eastAsia="zh-CN"/>
        </w:rPr>
        <w:t>2A.2.2.2</w:t>
      </w:r>
      <w:r>
        <w:rPr>
          <w:lang w:eastAsia="zh-CN"/>
        </w:rPr>
        <w:t>).</w:t>
      </w:r>
    </w:p>
    <w:p w14:paraId="08423EBA" w14:textId="074D517F" w:rsidR="00B2233B" w:rsidRDefault="00B2233B" w:rsidP="00B2233B">
      <w:pPr>
        <w:rPr>
          <w:lang w:eastAsia="zh-CN"/>
        </w:rPr>
      </w:pPr>
      <w:r>
        <w:rPr>
          <w:lang w:eastAsia="zh-CN"/>
        </w:rPr>
        <w:t>However, when the</w:t>
      </w:r>
      <w:r w:rsidR="00D84157">
        <w:rPr>
          <w:lang w:eastAsia="zh-CN"/>
        </w:rPr>
        <w:t>re</w:t>
      </w:r>
      <w:r>
        <w:rPr>
          <w:lang w:eastAsia="zh-CN"/>
        </w:rPr>
        <w:t xml:space="preserve"> is an RB allocation only in one CC there is no related IMD3 and thus the MPR </w:t>
      </w:r>
      <w:r w:rsidR="005E5B05">
        <w:rPr>
          <w:lang w:eastAsia="zh-CN"/>
        </w:rPr>
        <w:t xml:space="preserve">in section </w:t>
      </w:r>
      <w:r w:rsidR="005E5B05" w:rsidRPr="005E5B05">
        <w:rPr>
          <w:lang w:eastAsia="zh-CN"/>
        </w:rPr>
        <w:t>6.2A.2.2</w:t>
      </w:r>
      <w:r w:rsidR="005E5B05">
        <w:rPr>
          <w:lang w:eastAsia="zh-CN"/>
        </w:rPr>
        <w:t xml:space="preserve"> cannot be used nor would it be feasible to know whether to apply the -13 or -30dBm/MHz case.</w:t>
      </w:r>
    </w:p>
    <w:p w14:paraId="1515EE90" w14:textId="6661DE94" w:rsidR="00150C38" w:rsidRDefault="00150C38" w:rsidP="00150C38">
      <w:pPr>
        <w:spacing w:after="0"/>
        <w:rPr>
          <w:lang w:eastAsia="zh-CN"/>
        </w:rPr>
      </w:pPr>
      <w:r>
        <w:rPr>
          <w:lang w:eastAsia="zh-CN"/>
        </w:rPr>
        <w:t>In the case where there is RBs allocated only in one CC, the 1CC MPR should apply as the same SEM and ACLR are required in one CC or two CC case, but there multiple cases depending on the implementation as shown in Table1:</w:t>
      </w:r>
    </w:p>
    <w:p w14:paraId="2952BE79" w14:textId="5C123DA1" w:rsidR="00150C38" w:rsidRDefault="00150C38" w:rsidP="00150C38">
      <w:pPr>
        <w:pStyle w:val="ListParagraph"/>
        <w:numPr>
          <w:ilvl w:val="0"/>
          <w:numId w:val="36"/>
        </w:numPr>
        <w:spacing w:after="0"/>
        <w:rPr>
          <w:lang w:eastAsia="zh-CN"/>
        </w:rPr>
      </w:pPr>
      <w:r>
        <w:rPr>
          <w:lang w:eastAsia="zh-CN"/>
        </w:rPr>
        <w:t xml:space="preserve">For PC3 things are simple as </w:t>
      </w:r>
      <w:r w:rsidR="001A4213">
        <w:rPr>
          <w:lang w:eastAsia="zh-CN"/>
        </w:rPr>
        <w:t xml:space="preserve">at least </w:t>
      </w:r>
      <w:r>
        <w:rPr>
          <w:lang w:eastAsia="zh-CN"/>
        </w:rPr>
        <w:t>one PC3 PA is available in any case</w:t>
      </w:r>
    </w:p>
    <w:p w14:paraId="725B253D" w14:textId="607EB9ED" w:rsidR="00150C38" w:rsidRDefault="00150C38" w:rsidP="00150C38">
      <w:pPr>
        <w:pStyle w:val="ListParagraph"/>
        <w:numPr>
          <w:ilvl w:val="0"/>
          <w:numId w:val="36"/>
        </w:numPr>
        <w:spacing w:after="0"/>
        <w:rPr>
          <w:lang w:eastAsia="zh-CN"/>
        </w:rPr>
      </w:pPr>
      <w:r>
        <w:rPr>
          <w:lang w:eastAsia="zh-CN"/>
        </w:rPr>
        <w:t>For PC2</w:t>
      </w:r>
      <w:r w:rsidR="001A4213" w:rsidRPr="001A4213">
        <w:rPr>
          <w:lang w:eastAsia="zh-CN"/>
        </w:rPr>
        <w:t xml:space="preserve"> </w:t>
      </w:r>
      <w:r w:rsidR="001A4213">
        <w:rPr>
          <w:lang w:eastAsia="zh-CN"/>
        </w:rPr>
        <w:t xml:space="preserve">with two LO, similarly, at least </w:t>
      </w:r>
      <w:r>
        <w:rPr>
          <w:lang w:eastAsia="zh-CN"/>
        </w:rPr>
        <w:t>one PC2 PA is available</w:t>
      </w:r>
    </w:p>
    <w:p w14:paraId="2BBF4924" w14:textId="3C3C349B" w:rsidR="00150C38" w:rsidRDefault="001A4213" w:rsidP="00150C38">
      <w:pPr>
        <w:pStyle w:val="ListParagraph"/>
        <w:numPr>
          <w:ilvl w:val="0"/>
          <w:numId w:val="36"/>
        </w:numPr>
        <w:spacing w:after="0"/>
        <w:rPr>
          <w:lang w:eastAsia="zh-CN"/>
        </w:rPr>
      </w:pPr>
      <w:r>
        <w:rPr>
          <w:lang w:eastAsia="zh-CN"/>
        </w:rPr>
        <w:t xml:space="preserve">For PC2 with one LO, the implementation is either with one PC2 PA or with two PC3 PAs using </w:t>
      </w:r>
      <w:proofErr w:type="spellStart"/>
      <w:r>
        <w:rPr>
          <w:lang w:eastAsia="zh-CN"/>
        </w:rPr>
        <w:t>TxD</w:t>
      </w:r>
      <w:proofErr w:type="spellEnd"/>
      <w:r w:rsidR="00D84157">
        <w:rPr>
          <w:lang w:eastAsia="zh-CN"/>
        </w:rPr>
        <w:t>.</w:t>
      </w:r>
    </w:p>
    <w:p w14:paraId="6232D0B8" w14:textId="290150C1" w:rsidR="00150C38" w:rsidRDefault="00150C38" w:rsidP="00150C38">
      <w:pPr>
        <w:pStyle w:val="Caption"/>
        <w:keepNext/>
        <w:jc w:val="center"/>
      </w:pPr>
      <w:r>
        <w:t xml:space="preserve">Table </w:t>
      </w:r>
      <w:r w:rsidR="009C5716">
        <w:fldChar w:fldCharType="begin"/>
      </w:r>
      <w:r w:rsidR="009C5716">
        <w:instrText xml:space="preserve"> SEQ Table \* ARABIC </w:instrText>
      </w:r>
      <w:r w:rsidR="009C5716">
        <w:fldChar w:fldCharType="separate"/>
      </w:r>
      <w:r>
        <w:rPr>
          <w:noProof/>
        </w:rPr>
        <w:t>1</w:t>
      </w:r>
      <w:r w:rsidR="009C5716">
        <w:rPr>
          <w:noProof/>
        </w:rPr>
        <w:fldChar w:fldCharType="end"/>
      </w:r>
      <w:r>
        <w:t xml:space="preserve">: MPR requirement status of </w:t>
      </w:r>
      <w:r w:rsidR="001A4213">
        <w:rPr>
          <w:lang w:val="en-GB" w:eastAsia="zh-CN"/>
        </w:rPr>
        <w:t>NC ULCA for different</w:t>
      </w:r>
      <w:r>
        <w:rPr>
          <w:lang w:val="en-GB" w:eastAsia="zh-CN"/>
        </w:rPr>
        <w:t xml:space="preserve"> PA architectures</w:t>
      </w:r>
    </w:p>
    <w:tbl>
      <w:tblPr>
        <w:tblW w:w="4942" w:type="dxa"/>
        <w:jc w:val="center"/>
        <w:tblInd w:w="198" w:type="dxa"/>
        <w:tblLook w:val="04A0" w:firstRow="1" w:lastRow="0" w:firstColumn="1" w:lastColumn="0" w:noHBand="0" w:noVBand="1"/>
      </w:tblPr>
      <w:tblGrid>
        <w:gridCol w:w="940"/>
        <w:gridCol w:w="1595"/>
        <w:gridCol w:w="740"/>
        <w:gridCol w:w="747"/>
        <w:gridCol w:w="920"/>
      </w:tblGrid>
      <w:tr w:rsidR="001A4213" w:rsidRPr="001E0928" w14:paraId="363C1A78" w14:textId="77777777" w:rsidTr="001A4213">
        <w:trPr>
          <w:trHeight w:val="58"/>
          <w:jc w:val="center"/>
        </w:trPr>
        <w:tc>
          <w:tcPr>
            <w:tcW w:w="940" w:type="dxa"/>
            <w:tcBorders>
              <w:top w:val="single" w:sz="4" w:space="0" w:color="auto"/>
              <w:left w:val="single" w:sz="4" w:space="0" w:color="auto"/>
              <w:bottom w:val="single" w:sz="4" w:space="0" w:color="auto"/>
              <w:right w:val="nil"/>
            </w:tcBorders>
            <w:shd w:val="clear" w:color="000000" w:fill="A6A6A6"/>
            <w:noWrap/>
            <w:vAlign w:val="center"/>
            <w:hideMark/>
          </w:tcPr>
          <w:p w14:paraId="4A306AC2" w14:textId="77777777" w:rsidR="001A4213" w:rsidRPr="001E0928" w:rsidRDefault="001A4213" w:rsidP="00FD0AC1">
            <w:pPr>
              <w:overflowPunct/>
              <w:autoSpaceDE/>
              <w:autoSpaceDN/>
              <w:adjustRightInd/>
              <w:spacing w:after="0"/>
              <w:textAlignment w:val="auto"/>
              <w:rPr>
                <w:rFonts w:asciiTheme="minorHAnsi" w:hAnsiTheme="minorHAnsi"/>
                <w:b/>
                <w:bCs/>
                <w:color w:val="000000"/>
                <w:sz w:val="18"/>
                <w:szCs w:val="18"/>
              </w:rPr>
            </w:pPr>
            <w:r w:rsidRPr="001E0928">
              <w:rPr>
                <w:rFonts w:asciiTheme="minorHAnsi" w:hAnsiTheme="minorHAnsi"/>
                <w:b/>
                <w:bCs/>
                <w:color w:val="000000"/>
                <w:sz w:val="18"/>
                <w:szCs w:val="18"/>
              </w:rPr>
              <w:t>PA case</w:t>
            </w:r>
          </w:p>
        </w:tc>
        <w:tc>
          <w:tcPr>
            <w:tcW w:w="1595"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3E7C6FAA"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1</w:t>
            </w:r>
          </w:p>
        </w:tc>
        <w:tc>
          <w:tcPr>
            <w:tcW w:w="740" w:type="dxa"/>
            <w:tcBorders>
              <w:top w:val="single" w:sz="4" w:space="0" w:color="auto"/>
              <w:left w:val="nil"/>
              <w:bottom w:val="single" w:sz="4" w:space="0" w:color="auto"/>
              <w:right w:val="single" w:sz="4" w:space="0" w:color="auto"/>
            </w:tcBorders>
            <w:shd w:val="clear" w:color="000000" w:fill="A6A6A6"/>
            <w:noWrap/>
            <w:vAlign w:val="center"/>
            <w:hideMark/>
          </w:tcPr>
          <w:p w14:paraId="46D4A8C5"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2x1/2</w:t>
            </w:r>
          </w:p>
        </w:tc>
        <w:tc>
          <w:tcPr>
            <w:tcW w:w="747" w:type="dxa"/>
            <w:tcBorders>
              <w:top w:val="single" w:sz="4" w:space="0" w:color="auto"/>
              <w:left w:val="nil"/>
              <w:bottom w:val="single" w:sz="4" w:space="0" w:color="auto"/>
              <w:right w:val="single" w:sz="4" w:space="0" w:color="auto"/>
            </w:tcBorders>
            <w:shd w:val="clear" w:color="000000" w:fill="A6A6A6"/>
            <w:noWrap/>
            <w:vAlign w:val="center"/>
            <w:hideMark/>
          </w:tcPr>
          <w:p w14:paraId="675B6980"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1+1/2</w:t>
            </w:r>
          </w:p>
        </w:tc>
        <w:tc>
          <w:tcPr>
            <w:tcW w:w="920" w:type="dxa"/>
            <w:tcBorders>
              <w:top w:val="single" w:sz="4" w:space="0" w:color="auto"/>
              <w:left w:val="nil"/>
              <w:bottom w:val="single" w:sz="4" w:space="0" w:color="auto"/>
              <w:right w:val="single" w:sz="4" w:space="0" w:color="auto"/>
            </w:tcBorders>
            <w:shd w:val="clear" w:color="000000" w:fill="A6A6A6"/>
            <w:noWrap/>
            <w:vAlign w:val="center"/>
            <w:hideMark/>
          </w:tcPr>
          <w:p w14:paraId="38EB4ED5"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2x1</w:t>
            </w:r>
          </w:p>
        </w:tc>
      </w:tr>
      <w:tr w:rsidR="001A4213" w:rsidRPr="001E0928" w14:paraId="790677E0" w14:textId="77777777" w:rsidTr="001A4213">
        <w:trPr>
          <w:trHeight w:val="58"/>
          <w:jc w:val="center"/>
        </w:trPr>
        <w:tc>
          <w:tcPr>
            <w:tcW w:w="940" w:type="dxa"/>
            <w:tcBorders>
              <w:top w:val="nil"/>
              <w:left w:val="single" w:sz="4" w:space="0" w:color="auto"/>
              <w:bottom w:val="single" w:sz="4" w:space="0" w:color="auto"/>
              <w:right w:val="single" w:sz="4" w:space="0" w:color="auto"/>
            </w:tcBorders>
            <w:shd w:val="clear" w:color="000000" w:fill="F2F2F2"/>
            <w:vAlign w:val="center"/>
            <w:hideMark/>
          </w:tcPr>
          <w:p w14:paraId="7355A1FB" w14:textId="77777777" w:rsidR="001A4213" w:rsidRPr="001E0928" w:rsidRDefault="001A4213" w:rsidP="00FD0AC1">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PC3</w:t>
            </w:r>
          </w:p>
        </w:tc>
        <w:tc>
          <w:tcPr>
            <w:tcW w:w="1595" w:type="dxa"/>
            <w:tcBorders>
              <w:top w:val="nil"/>
              <w:left w:val="nil"/>
              <w:bottom w:val="single" w:sz="4" w:space="0" w:color="auto"/>
              <w:right w:val="nil"/>
            </w:tcBorders>
            <w:shd w:val="clear" w:color="auto" w:fill="auto"/>
            <w:vAlign w:val="center"/>
            <w:hideMark/>
          </w:tcPr>
          <w:p w14:paraId="37340C00"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R17 1LO &lt;200MHz</w:t>
            </w:r>
          </w:p>
        </w:tc>
        <w:tc>
          <w:tcPr>
            <w:tcW w:w="740" w:type="dxa"/>
            <w:tcBorders>
              <w:top w:val="nil"/>
              <w:left w:val="single" w:sz="4" w:space="0" w:color="auto"/>
              <w:bottom w:val="single" w:sz="4" w:space="0" w:color="auto"/>
              <w:right w:val="single" w:sz="4" w:space="0" w:color="auto"/>
            </w:tcBorders>
            <w:shd w:val="clear" w:color="auto" w:fill="auto"/>
            <w:vAlign w:val="center"/>
            <w:hideMark/>
          </w:tcPr>
          <w:p w14:paraId="62BD328A" w14:textId="77777777" w:rsidR="001A4213" w:rsidRPr="001E0928" w:rsidRDefault="001A4213" w:rsidP="00FD0AC1">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747" w:type="dxa"/>
            <w:tcBorders>
              <w:top w:val="nil"/>
              <w:left w:val="nil"/>
              <w:bottom w:val="single" w:sz="4" w:space="0" w:color="auto"/>
              <w:right w:val="single" w:sz="4" w:space="0" w:color="auto"/>
            </w:tcBorders>
            <w:shd w:val="clear" w:color="auto" w:fill="auto"/>
            <w:vAlign w:val="center"/>
            <w:hideMark/>
          </w:tcPr>
          <w:p w14:paraId="0F48D079" w14:textId="77777777" w:rsidR="001A4213" w:rsidRPr="001E0928" w:rsidRDefault="001A4213" w:rsidP="00FD0AC1">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920" w:type="dxa"/>
            <w:tcBorders>
              <w:top w:val="nil"/>
              <w:left w:val="nil"/>
              <w:bottom w:val="single" w:sz="4" w:space="0" w:color="auto"/>
              <w:right w:val="single" w:sz="4" w:space="0" w:color="auto"/>
            </w:tcBorders>
            <w:shd w:val="clear" w:color="auto" w:fill="auto"/>
            <w:vAlign w:val="center"/>
            <w:hideMark/>
          </w:tcPr>
          <w:p w14:paraId="77725A7D"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R16 2LO</w:t>
            </w:r>
          </w:p>
        </w:tc>
      </w:tr>
      <w:tr w:rsidR="001A4213" w:rsidRPr="001E0928" w14:paraId="4090997B" w14:textId="77777777" w:rsidTr="001A4213">
        <w:trPr>
          <w:trHeight w:val="58"/>
          <w:jc w:val="center"/>
        </w:trPr>
        <w:tc>
          <w:tcPr>
            <w:tcW w:w="940" w:type="dxa"/>
            <w:tcBorders>
              <w:top w:val="nil"/>
              <w:left w:val="single" w:sz="4" w:space="0" w:color="auto"/>
              <w:bottom w:val="single" w:sz="4" w:space="0" w:color="auto"/>
              <w:right w:val="single" w:sz="4" w:space="0" w:color="auto"/>
            </w:tcBorders>
            <w:shd w:val="clear" w:color="000000" w:fill="F2F2F2"/>
            <w:vAlign w:val="center"/>
            <w:hideMark/>
          </w:tcPr>
          <w:p w14:paraId="779F313C" w14:textId="77777777" w:rsidR="001A4213" w:rsidRPr="001E0928" w:rsidRDefault="001A4213" w:rsidP="00FD0AC1">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PC2</w:t>
            </w:r>
          </w:p>
        </w:tc>
        <w:tc>
          <w:tcPr>
            <w:tcW w:w="2335" w:type="dxa"/>
            <w:gridSpan w:val="2"/>
            <w:tcBorders>
              <w:top w:val="single" w:sz="4" w:space="0" w:color="auto"/>
              <w:left w:val="nil"/>
              <w:bottom w:val="single" w:sz="4" w:space="0" w:color="auto"/>
              <w:right w:val="single" w:sz="4" w:space="0" w:color="000000"/>
            </w:tcBorders>
            <w:shd w:val="clear" w:color="auto" w:fill="auto"/>
            <w:vAlign w:val="center"/>
            <w:hideMark/>
          </w:tcPr>
          <w:p w14:paraId="3130D351"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R17 1LO &lt;200MHz</w:t>
            </w:r>
          </w:p>
        </w:tc>
        <w:tc>
          <w:tcPr>
            <w:tcW w:w="1667" w:type="dxa"/>
            <w:gridSpan w:val="2"/>
            <w:tcBorders>
              <w:top w:val="single" w:sz="4" w:space="0" w:color="auto"/>
              <w:left w:val="nil"/>
              <w:bottom w:val="single" w:sz="4" w:space="0" w:color="auto"/>
              <w:right w:val="single" w:sz="4" w:space="0" w:color="000000"/>
            </w:tcBorders>
            <w:shd w:val="clear" w:color="auto" w:fill="auto"/>
            <w:vAlign w:val="center"/>
            <w:hideMark/>
          </w:tcPr>
          <w:p w14:paraId="3927A278" w14:textId="77777777" w:rsidR="001A4213" w:rsidRPr="001E0928" w:rsidRDefault="001A4213" w:rsidP="00FD0AC1">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R17 2LO</w:t>
            </w:r>
          </w:p>
        </w:tc>
      </w:tr>
    </w:tbl>
    <w:p w14:paraId="6180E80A" w14:textId="77777777" w:rsidR="00150C38" w:rsidRDefault="00150C38" w:rsidP="00E75727">
      <w:pPr>
        <w:spacing w:after="0"/>
        <w:rPr>
          <w:b/>
          <w:iCs/>
        </w:rPr>
      </w:pPr>
    </w:p>
    <w:p w14:paraId="0303AE98" w14:textId="58A3A3EF" w:rsidR="001A4213" w:rsidRPr="001A4213" w:rsidRDefault="001A4213" w:rsidP="00E75727">
      <w:pPr>
        <w:spacing w:after="0"/>
        <w:rPr>
          <w:iCs/>
        </w:rPr>
      </w:pPr>
      <w:r w:rsidRPr="001A4213">
        <w:rPr>
          <w:iCs/>
        </w:rPr>
        <w:t>It is th</w:t>
      </w:r>
      <w:r w:rsidR="00D84157">
        <w:rPr>
          <w:iCs/>
        </w:rPr>
        <w:t>erefore</w:t>
      </w:r>
      <w:r w:rsidRPr="001A4213">
        <w:rPr>
          <w:iCs/>
        </w:rPr>
        <w:t xml:space="preserve"> important to map the 1CC </w:t>
      </w:r>
      <w:proofErr w:type="spellStart"/>
      <w:r w:rsidRPr="001A4213">
        <w:rPr>
          <w:iCs/>
        </w:rPr>
        <w:t>fall-back</w:t>
      </w:r>
      <w:proofErr w:type="spellEnd"/>
      <w:r w:rsidRPr="001A4213">
        <w:rPr>
          <w:iCs/>
        </w:rPr>
        <w:t xml:space="preserve"> MPR with the right signaling IEs.</w:t>
      </w:r>
    </w:p>
    <w:p w14:paraId="3F4DC1C7" w14:textId="77777777" w:rsidR="001A4213" w:rsidRDefault="001A4213" w:rsidP="00E75727">
      <w:pPr>
        <w:spacing w:after="0"/>
        <w:rPr>
          <w:b/>
          <w:iCs/>
        </w:rPr>
      </w:pPr>
    </w:p>
    <w:p w14:paraId="3BB5C9FC" w14:textId="42696CD4" w:rsidR="00C94088" w:rsidRPr="00E75727" w:rsidRDefault="00C94088" w:rsidP="00E75727">
      <w:pPr>
        <w:spacing w:after="0"/>
        <w:rPr>
          <w:b/>
          <w:iCs/>
        </w:rPr>
      </w:pPr>
      <w:r w:rsidRPr="00E75727">
        <w:rPr>
          <w:b/>
          <w:iCs/>
        </w:rPr>
        <w:t>Proposal on</w:t>
      </w:r>
      <w:r w:rsidR="005E5B05">
        <w:rPr>
          <w:b/>
          <w:iCs/>
        </w:rPr>
        <w:t xml:space="preserve"> 1CC </w:t>
      </w:r>
      <w:proofErr w:type="spellStart"/>
      <w:r w:rsidR="005E5B05">
        <w:rPr>
          <w:b/>
          <w:iCs/>
        </w:rPr>
        <w:t>fall</w:t>
      </w:r>
      <w:r w:rsidR="00150C38">
        <w:rPr>
          <w:b/>
          <w:iCs/>
        </w:rPr>
        <w:t>-</w:t>
      </w:r>
      <w:r w:rsidR="005E5B05">
        <w:rPr>
          <w:b/>
          <w:iCs/>
        </w:rPr>
        <w:t>back</w:t>
      </w:r>
      <w:proofErr w:type="spellEnd"/>
      <w:r w:rsidRPr="00E75727">
        <w:rPr>
          <w:b/>
          <w:iCs/>
        </w:rPr>
        <w:t xml:space="preserve"> MPR for NC UL CA</w:t>
      </w:r>
    </w:p>
    <w:p w14:paraId="04A9DCE3" w14:textId="4C8A6462" w:rsidR="005E5B05" w:rsidRPr="005E5B05" w:rsidRDefault="005E5B05" w:rsidP="00F91A55">
      <w:pPr>
        <w:pStyle w:val="ListParagraph"/>
        <w:numPr>
          <w:ilvl w:val="0"/>
          <w:numId w:val="22"/>
        </w:numPr>
        <w:spacing w:after="0"/>
        <w:rPr>
          <w:b/>
          <w:iCs/>
        </w:rPr>
      </w:pPr>
      <w:r>
        <w:rPr>
          <w:b/>
        </w:rPr>
        <w:t>W</w:t>
      </w:r>
      <w:r w:rsidRPr="00553A75">
        <w:rPr>
          <w:b/>
        </w:rPr>
        <w:t>hen RBs are allocated only in one CC</w:t>
      </w:r>
      <w:r w:rsidRPr="005E5B05">
        <w:rPr>
          <w:b/>
          <w:iCs/>
        </w:rPr>
        <w:t xml:space="preserve"> </w:t>
      </w:r>
      <w:r>
        <w:rPr>
          <w:b/>
          <w:iCs/>
        </w:rPr>
        <w:t>the following MPR applies</w:t>
      </w:r>
      <w:r w:rsidR="00150C38">
        <w:rPr>
          <w:b/>
          <w:iCs/>
        </w:rPr>
        <w:t xml:space="preserve"> for PC3</w:t>
      </w:r>
      <w:r>
        <w:rPr>
          <w:b/>
        </w:rPr>
        <w:t>:</w:t>
      </w:r>
    </w:p>
    <w:p w14:paraId="067F4936" w14:textId="77777777" w:rsidR="00150C38" w:rsidRPr="00150C38" w:rsidRDefault="00150C38" w:rsidP="005E5B05">
      <w:pPr>
        <w:pStyle w:val="ListParagraph"/>
        <w:numPr>
          <w:ilvl w:val="1"/>
          <w:numId w:val="22"/>
        </w:numPr>
        <w:spacing w:after="0"/>
        <w:rPr>
          <w:b/>
          <w:iCs/>
        </w:rPr>
      </w:pPr>
      <w:r>
        <w:rPr>
          <w:b/>
          <w:iCs/>
        </w:rPr>
        <w:t xml:space="preserve">For PC3, there is no 2Tx </w:t>
      </w:r>
      <w:proofErr w:type="gramStart"/>
      <w:r>
        <w:rPr>
          <w:b/>
          <w:iCs/>
        </w:rPr>
        <w:t>cases</w:t>
      </w:r>
      <w:proofErr w:type="gramEnd"/>
      <w:r>
        <w:rPr>
          <w:b/>
          <w:iCs/>
        </w:rPr>
        <w:t xml:space="preserve">, </w:t>
      </w:r>
      <w:r w:rsidRPr="00E92138">
        <w:rPr>
          <w:b/>
          <w:iCs/>
        </w:rPr>
        <w:t>Table</w:t>
      </w:r>
      <w:r w:rsidRPr="00E92138">
        <w:rPr>
          <w:b/>
          <w:i/>
          <w:iCs/>
        </w:rPr>
        <w:t xml:space="preserve"> </w:t>
      </w:r>
      <w:r w:rsidRPr="00E92138">
        <w:rPr>
          <w:b/>
        </w:rPr>
        <w:t>6.2.2-1 applies.</w:t>
      </w:r>
    </w:p>
    <w:p w14:paraId="6A307263" w14:textId="437BB918" w:rsidR="00150C38" w:rsidRPr="005E5B05" w:rsidRDefault="00150C38" w:rsidP="00150C38">
      <w:pPr>
        <w:pStyle w:val="ListParagraph"/>
        <w:numPr>
          <w:ilvl w:val="0"/>
          <w:numId w:val="22"/>
        </w:numPr>
        <w:spacing w:after="0"/>
        <w:rPr>
          <w:b/>
          <w:iCs/>
        </w:rPr>
      </w:pPr>
      <w:r>
        <w:rPr>
          <w:b/>
        </w:rPr>
        <w:t>W</w:t>
      </w:r>
      <w:r w:rsidRPr="00553A75">
        <w:rPr>
          <w:b/>
        </w:rPr>
        <w:t>hen RBs are allocated only in one CC</w:t>
      </w:r>
      <w:r w:rsidRPr="005E5B05">
        <w:rPr>
          <w:b/>
          <w:iCs/>
        </w:rPr>
        <w:t xml:space="preserve"> </w:t>
      </w:r>
      <w:r>
        <w:rPr>
          <w:b/>
          <w:iCs/>
        </w:rPr>
        <w:t>the following MPR applies for PC2</w:t>
      </w:r>
      <w:r>
        <w:rPr>
          <w:b/>
        </w:rPr>
        <w:t>:</w:t>
      </w:r>
    </w:p>
    <w:p w14:paraId="35F71654" w14:textId="232D67B9" w:rsidR="006D39CF" w:rsidRPr="00150C38" w:rsidRDefault="006D39CF" w:rsidP="00150C38">
      <w:pPr>
        <w:pStyle w:val="ListParagraph"/>
        <w:numPr>
          <w:ilvl w:val="1"/>
          <w:numId w:val="22"/>
        </w:numPr>
        <w:spacing w:after="0"/>
        <w:rPr>
          <w:b/>
          <w:iCs/>
        </w:rPr>
      </w:pPr>
      <w:r w:rsidRPr="006D39CF">
        <w:rPr>
          <w:b/>
          <w:iCs/>
        </w:rPr>
        <w:t>When</w:t>
      </w:r>
      <w:r>
        <w:rPr>
          <w:b/>
          <w:i/>
          <w:iCs/>
        </w:rPr>
        <w:t xml:space="preserve"> </w:t>
      </w:r>
      <w:r w:rsidR="00E75727" w:rsidRPr="00E75727">
        <w:rPr>
          <w:b/>
          <w:i/>
          <w:iCs/>
        </w:rPr>
        <w:t>uplinkTxDC-TwoCarrierReport-r16</w:t>
      </w:r>
      <w:r>
        <w:rPr>
          <w:b/>
          <w:i/>
          <w:iCs/>
        </w:rPr>
        <w:t xml:space="preserve"> </w:t>
      </w:r>
      <w:r w:rsidR="00E75727" w:rsidRPr="00E75727">
        <w:rPr>
          <w:b/>
          <w:iCs/>
        </w:rPr>
        <w:t>is reported</w:t>
      </w:r>
      <w:r w:rsidR="00150C38">
        <w:rPr>
          <w:b/>
          <w:iCs/>
        </w:rPr>
        <w:t xml:space="preserve"> </w:t>
      </w:r>
      <w:r w:rsidRPr="00150C38">
        <w:rPr>
          <w:b/>
          <w:iCs/>
        </w:rPr>
        <w:t>Table</w:t>
      </w:r>
      <w:r w:rsidRPr="00150C38">
        <w:rPr>
          <w:b/>
          <w:i/>
          <w:iCs/>
        </w:rPr>
        <w:t xml:space="preserve"> </w:t>
      </w:r>
      <w:r w:rsidRPr="00150C38">
        <w:rPr>
          <w:b/>
        </w:rPr>
        <w:t xml:space="preserve">6.2.2-2 </w:t>
      </w:r>
      <w:r w:rsidR="00150C38">
        <w:rPr>
          <w:b/>
        </w:rPr>
        <w:t>applies</w:t>
      </w:r>
      <w:r w:rsidRPr="00150C38">
        <w:rPr>
          <w:b/>
          <w:iCs/>
        </w:rPr>
        <w:t>.</w:t>
      </w:r>
    </w:p>
    <w:p w14:paraId="299CB42F" w14:textId="62D8F732" w:rsidR="00553A75" w:rsidRPr="00150C38" w:rsidRDefault="006D39CF" w:rsidP="00150C38">
      <w:pPr>
        <w:pStyle w:val="ListParagraph"/>
        <w:numPr>
          <w:ilvl w:val="1"/>
          <w:numId w:val="22"/>
        </w:numPr>
        <w:spacing w:after="0"/>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 xml:space="preserve">is </w:t>
      </w:r>
      <w:r>
        <w:rPr>
          <w:b/>
          <w:iCs/>
        </w:rPr>
        <w:t>not</w:t>
      </w:r>
      <w:r w:rsidR="00150C38">
        <w:rPr>
          <w:b/>
          <w:iCs/>
        </w:rPr>
        <w:t xml:space="preserve"> reported</w:t>
      </w:r>
      <w:r w:rsidR="00FD60E8">
        <w:rPr>
          <w:b/>
          <w:iCs/>
        </w:rPr>
        <w:t>:</w:t>
      </w:r>
    </w:p>
    <w:p w14:paraId="55BA71A6" w14:textId="3CD5E871" w:rsidR="00553A75" w:rsidRDefault="00553A75" w:rsidP="00150C38">
      <w:pPr>
        <w:pStyle w:val="ListParagraph"/>
        <w:numPr>
          <w:ilvl w:val="2"/>
          <w:numId w:val="22"/>
        </w:numPr>
        <w:spacing w:after="0"/>
        <w:rPr>
          <w:b/>
          <w:iCs/>
        </w:rPr>
      </w:pPr>
      <w:r>
        <w:rPr>
          <w:b/>
          <w:iCs/>
        </w:rPr>
        <w:t xml:space="preserve">If </w:t>
      </w:r>
      <w:proofErr w:type="spellStart"/>
      <w:r w:rsidRPr="00553A75">
        <w:rPr>
          <w:b/>
          <w:i/>
          <w:iCs/>
        </w:rPr>
        <w:t>TxD</w:t>
      </w:r>
      <w:proofErr w:type="spellEnd"/>
      <w:r>
        <w:rPr>
          <w:b/>
          <w:iCs/>
        </w:rPr>
        <w:t xml:space="preserve"> is signaled, 2Tx PC2 </w:t>
      </w:r>
      <w:r w:rsidR="00E92138">
        <w:rPr>
          <w:b/>
          <w:iCs/>
        </w:rPr>
        <w:t>t</w:t>
      </w:r>
      <w:r>
        <w:rPr>
          <w:b/>
          <w:iCs/>
        </w:rPr>
        <w:t xml:space="preserve">able </w:t>
      </w:r>
      <w:r w:rsidRPr="00553A75">
        <w:rPr>
          <w:b/>
          <w:iCs/>
        </w:rPr>
        <w:t xml:space="preserve">in </w:t>
      </w:r>
      <w:r w:rsidRPr="00553A75">
        <w:rPr>
          <w:b/>
        </w:rPr>
        <w:t>R4-2119971 applies</w:t>
      </w:r>
    </w:p>
    <w:p w14:paraId="42F96821" w14:textId="18D4EA5C" w:rsidR="006D39CF" w:rsidRPr="006D39CF" w:rsidRDefault="00553A75" w:rsidP="00150C38">
      <w:pPr>
        <w:pStyle w:val="ListParagraph"/>
        <w:numPr>
          <w:ilvl w:val="2"/>
          <w:numId w:val="22"/>
        </w:numPr>
        <w:spacing w:after="0"/>
        <w:rPr>
          <w:b/>
          <w:iCs/>
        </w:rPr>
      </w:pPr>
      <w:r>
        <w:rPr>
          <w:b/>
          <w:iCs/>
        </w:rPr>
        <w:t xml:space="preserve">If </w:t>
      </w:r>
      <w:proofErr w:type="spellStart"/>
      <w:r w:rsidRPr="00553A75">
        <w:rPr>
          <w:b/>
          <w:i/>
          <w:iCs/>
        </w:rPr>
        <w:t>TxD</w:t>
      </w:r>
      <w:proofErr w:type="spellEnd"/>
      <w:r>
        <w:rPr>
          <w:b/>
          <w:iCs/>
        </w:rPr>
        <w:t xml:space="preserve"> is not signaled, </w:t>
      </w:r>
      <w:r w:rsidR="006D39CF" w:rsidRPr="007D57D6">
        <w:rPr>
          <w:b/>
          <w:iCs/>
        </w:rPr>
        <w:t>1Tx PC</w:t>
      </w:r>
      <w:r w:rsidR="006D39CF">
        <w:rPr>
          <w:b/>
          <w:iCs/>
        </w:rPr>
        <w:t>2</w:t>
      </w:r>
      <w:r w:rsidR="006D39CF" w:rsidRPr="007D57D6">
        <w:rPr>
          <w:b/>
          <w:iCs/>
        </w:rPr>
        <w:t xml:space="preserve"> in Table</w:t>
      </w:r>
      <w:r w:rsidR="006D39CF" w:rsidRPr="007D57D6">
        <w:rPr>
          <w:b/>
          <w:i/>
          <w:iCs/>
        </w:rPr>
        <w:t xml:space="preserve"> </w:t>
      </w:r>
      <w:r w:rsidR="006D39CF" w:rsidRPr="007D57D6">
        <w:rPr>
          <w:b/>
        </w:rPr>
        <w:t>6.2.2-</w:t>
      </w:r>
      <w:r w:rsidR="006D39CF">
        <w:rPr>
          <w:b/>
        </w:rPr>
        <w:t>2 applies</w:t>
      </w:r>
      <w:r w:rsidR="00D84157">
        <w:rPr>
          <w:b/>
        </w:rPr>
        <w:t>.</w:t>
      </w:r>
    </w:p>
    <w:p w14:paraId="260D3250" w14:textId="0E119D2C" w:rsidR="00A1676F" w:rsidRDefault="00A1676F" w:rsidP="00A1676F">
      <w:pPr>
        <w:pStyle w:val="Heading2"/>
        <w:spacing w:after="240"/>
        <w:rPr>
          <w:lang w:eastAsia="zh-CN"/>
        </w:rPr>
      </w:pPr>
      <w:r>
        <w:rPr>
          <w:lang w:eastAsia="zh-CN"/>
        </w:rPr>
        <w:lastRenderedPageBreak/>
        <w:t>Non-contiguous UL CA with MIMO</w:t>
      </w:r>
    </w:p>
    <w:p w14:paraId="7D0FD67E" w14:textId="3B2F796E" w:rsidR="00A1676F" w:rsidRDefault="00A1676F" w:rsidP="00A1676F">
      <w:pPr>
        <w:spacing w:after="0"/>
        <w:rPr>
          <w:iCs/>
        </w:rPr>
      </w:pPr>
      <w:r w:rsidRPr="00E92138">
        <w:rPr>
          <w:iCs/>
        </w:rPr>
        <w:t xml:space="preserve">It </w:t>
      </w:r>
      <w:r>
        <w:rPr>
          <w:iCs/>
        </w:rPr>
        <w:t>should be noted that when NC ULCA bandwidth &gt;200MHz is supported with 2x1 architecture as described in [2], UL MIMO could be supported on top of NC UL CA with 1LO when bandwidth restrictions apply. This approach can use significantly improved MPR compared to the 2x1/2 architecture. I</w:t>
      </w:r>
      <w:r w:rsidR="00D84157">
        <w:rPr>
          <w:iCs/>
        </w:rPr>
        <w:t>t</w:t>
      </w:r>
      <w:r>
        <w:rPr>
          <w:iCs/>
        </w:rPr>
        <w:t xml:space="preserve"> should be noted that a 1CC fallback with MIMO would then be needed for PC2 2x1 architecture</w:t>
      </w:r>
      <w:r w:rsidR="003F3CD4">
        <w:rPr>
          <w:iCs/>
        </w:rPr>
        <w:t xml:space="preserve"> which can cover all channel configurations. It cannot use PC1.5 as UE declares PC2 and its thermal and power management may not be designed for 29dBm, however, it </w:t>
      </w:r>
      <w:r>
        <w:rPr>
          <w:iCs/>
        </w:rPr>
        <w:t>can reuse PC1.5 2Tx MPR with using:</w:t>
      </w:r>
    </w:p>
    <w:p w14:paraId="00063D61" w14:textId="62F2C5ED" w:rsidR="00A1676F" w:rsidRPr="00A1676F" w:rsidRDefault="00A1676F" w:rsidP="00A1676F">
      <w:pPr>
        <w:spacing w:after="0"/>
        <w:jc w:val="center"/>
        <w:rPr>
          <w:i/>
          <w:iCs/>
        </w:rPr>
      </w:pPr>
      <w:r w:rsidRPr="00A1676F">
        <w:rPr>
          <w:i/>
          <w:lang w:eastAsia="zh-CN"/>
        </w:rPr>
        <w:t>Max (0, PC1.5 smartphone MPR -3dB)</w:t>
      </w:r>
    </w:p>
    <w:p w14:paraId="1F490D29" w14:textId="77777777" w:rsidR="00A1676F" w:rsidRDefault="00A1676F" w:rsidP="00A1676F">
      <w:pPr>
        <w:spacing w:after="0"/>
        <w:rPr>
          <w:iCs/>
        </w:rPr>
      </w:pPr>
    </w:p>
    <w:p w14:paraId="088FE2C3" w14:textId="2432E278" w:rsidR="004F3C3D" w:rsidRPr="00A1676F" w:rsidRDefault="00A1676F" w:rsidP="00E92138">
      <w:pPr>
        <w:spacing w:after="0"/>
        <w:rPr>
          <w:b/>
          <w:iCs/>
        </w:rPr>
      </w:pPr>
      <w:r w:rsidRPr="00A1676F">
        <w:rPr>
          <w:b/>
          <w:iCs/>
        </w:rPr>
        <w:t xml:space="preserve">Proposal on NC ULCA+MIMO: If </w:t>
      </w:r>
      <w:r w:rsidR="001A4213" w:rsidRPr="00A1676F">
        <w:rPr>
          <w:b/>
          <w:iCs/>
        </w:rPr>
        <w:t>NC ULCA+MIMO</w:t>
      </w:r>
      <w:r w:rsidRPr="00A1676F">
        <w:rPr>
          <w:b/>
          <w:iCs/>
        </w:rPr>
        <w:t xml:space="preserve"> is not pursued in Release 17, we recommend that it be on the agenda for Release 18</w:t>
      </w:r>
      <w:r w:rsidR="001A4213">
        <w:rPr>
          <w:b/>
          <w:iCs/>
        </w:rPr>
        <w:t xml:space="preserve"> for discussion</w:t>
      </w:r>
      <w:r w:rsidRPr="00A1676F">
        <w:rPr>
          <w:b/>
          <w:iCs/>
        </w:rPr>
        <w:t xml:space="preserve">, as 2x1 architectures are common in TDD bands above </w:t>
      </w:r>
      <w:r w:rsidR="001A4213">
        <w:rPr>
          <w:b/>
          <w:iCs/>
        </w:rPr>
        <w:t>2.5</w:t>
      </w:r>
      <w:r w:rsidRPr="00A1676F">
        <w:rPr>
          <w:b/>
          <w:iCs/>
        </w:rPr>
        <w:t>GHz</w:t>
      </w:r>
      <w:r w:rsidR="001A4213">
        <w:rPr>
          <w:b/>
          <w:iCs/>
        </w:rPr>
        <w:t xml:space="preserve"> and offer de facto to support such feature</w:t>
      </w:r>
      <w:r w:rsidRPr="00A1676F">
        <w:rPr>
          <w:b/>
          <w:iCs/>
        </w:rPr>
        <w:t>.</w:t>
      </w:r>
    </w:p>
    <w:p w14:paraId="7BE54F94" w14:textId="77777777" w:rsidR="00305289" w:rsidRDefault="00305289" w:rsidP="00305289">
      <w:pPr>
        <w:pStyle w:val="Heading1"/>
      </w:pPr>
      <w:r>
        <w:t>Conclusions</w:t>
      </w:r>
    </w:p>
    <w:p w14:paraId="3C251E6A" w14:textId="55B13CD4" w:rsidR="006E4FCE" w:rsidRDefault="00305289" w:rsidP="00FE650D">
      <w:pPr>
        <w:spacing w:after="0"/>
        <w:jc w:val="both"/>
      </w:pPr>
      <w:r>
        <w:t xml:space="preserve">In this contribution, </w:t>
      </w:r>
      <w:r w:rsidR="009B4F03">
        <w:t xml:space="preserve">we </w:t>
      </w:r>
      <w:r w:rsidR="00F90C82">
        <w:t>examine</w:t>
      </w:r>
      <w:r w:rsidR="009B4F03">
        <w:t xml:space="preserve"> the</w:t>
      </w:r>
      <w:r w:rsidR="00150C38">
        <w:t xml:space="preserve"> non-contiguous ULCA</w:t>
      </w:r>
      <w:r w:rsidR="009B4F03">
        <w:t xml:space="preserve"> </w:t>
      </w:r>
      <w:r w:rsidR="00150C38">
        <w:t>implementations and make proposals on signaling for 1Lo versus 2LO cases and clarify MPR requirement when there is RBs allocated only in one CC</w:t>
      </w:r>
      <w:r w:rsidR="00DB4E38">
        <w:t>.</w:t>
      </w:r>
    </w:p>
    <w:p w14:paraId="6ACC18B4" w14:textId="77777777" w:rsidR="001A4213" w:rsidRDefault="001A4213" w:rsidP="00FE650D">
      <w:pPr>
        <w:spacing w:after="0"/>
        <w:jc w:val="both"/>
      </w:pPr>
    </w:p>
    <w:p w14:paraId="0AB043C5" w14:textId="77777777" w:rsidR="00D84157" w:rsidRDefault="00D84157" w:rsidP="00D84157">
      <w:pPr>
        <w:spacing w:after="0"/>
        <w:rPr>
          <w:b/>
        </w:rPr>
      </w:pPr>
      <w:r>
        <w:rPr>
          <w:b/>
        </w:rPr>
        <w:t>Proposal on 1LO/2LO signaling:</w:t>
      </w:r>
    </w:p>
    <w:p w14:paraId="2724816F" w14:textId="77777777" w:rsidR="00D84157" w:rsidRPr="004F3C3D" w:rsidRDefault="00D84157" w:rsidP="00D84157">
      <w:pPr>
        <w:pStyle w:val="ListParagraph"/>
        <w:numPr>
          <w:ilvl w:val="0"/>
          <w:numId w:val="35"/>
        </w:numPr>
        <w:spacing w:after="0"/>
        <w:rPr>
          <w:b/>
          <w:iCs/>
        </w:rPr>
      </w:pPr>
      <w:r w:rsidRPr="004F3C3D">
        <w:rPr>
          <w:b/>
        </w:rPr>
        <w:t xml:space="preserve">1LO and 2LO cases are differentiated by using </w:t>
      </w:r>
      <w:r w:rsidRPr="004F3C3D">
        <w:rPr>
          <w:b/>
          <w:i/>
          <w:iCs/>
        </w:rPr>
        <w:t xml:space="preserve">uplinkTxDC-TwoCarrierReport-r16 </w:t>
      </w:r>
      <w:r w:rsidRPr="004F3C3D">
        <w:rPr>
          <w:b/>
          <w:iCs/>
        </w:rPr>
        <w:t>rather than</w:t>
      </w:r>
      <w:r w:rsidRPr="004F3C3D">
        <w:rPr>
          <w:b/>
          <w:i/>
          <w:iCs/>
        </w:rPr>
        <w:t xml:space="preserve"> </w:t>
      </w:r>
      <w:proofErr w:type="spellStart"/>
      <w:r w:rsidRPr="004F3C3D">
        <w:rPr>
          <w:b/>
          <w:i/>
        </w:rPr>
        <w:t>dualPA</w:t>
      </w:r>
      <w:proofErr w:type="spellEnd"/>
      <w:r w:rsidRPr="004F3C3D">
        <w:rPr>
          <w:b/>
          <w:i/>
        </w:rPr>
        <w:t>-Architecture</w:t>
      </w:r>
      <w:r>
        <w:rPr>
          <w:b/>
          <w:i/>
        </w:rPr>
        <w:t xml:space="preserve"> </w:t>
      </w:r>
      <w:r w:rsidRPr="004F3C3D">
        <w:rPr>
          <w:b/>
        </w:rPr>
        <w:t>for both PC3 and PC2</w:t>
      </w:r>
    </w:p>
    <w:p w14:paraId="3E8640E3" w14:textId="77777777" w:rsidR="00D84157" w:rsidRPr="004F3C3D" w:rsidRDefault="00D84157" w:rsidP="00D84157">
      <w:pPr>
        <w:pStyle w:val="ListParagraph"/>
        <w:numPr>
          <w:ilvl w:val="0"/>
          <w:numId w:val="35"/>
        </w:numPr>
        <w:spacing w:after="0"/>
        <w:rPr>
          <w:b/>
          <w:iCs/>
        </w:rPr>
      </w:pPr>
      <w:r w:rsidRPr="004F3C3D">
        <w:rPr>
          <w:b/>
          <w:i/>
          <w:iCs/>
        </w:rPr>
        <w:t>uplinkTxDC-TwoCarrierReport-r16</w:t>
      </w:r>
      <w:r>
        <w:rPr>
          <w:b/>
          <w:i/>
          <w:iCs/>
        </w:rPr>
        <w:t xml:space="preserve"> </w:t>
      </w:r>
      <w:r w:rsidRPr="004F3C3D">
        <w:rPr>
          <w:b/>
          <w:iCs/>
        </w:rPr>
        <w:t xml:space="preserve">is </w:t>
      </w:r>
      <w:r>
        <w:rPr>
          <w:b/>
          <w:iCs/>
        </w:rPr>
        <w:t>reported</w:t>
      </w:r>
      <w:r w:rsidRPr="004F3C3D">
        <w:rPr>
          <w:b/>
          <w:iCs/>
        </w:rPr>
        <w:t xml:space="preserve"> for the 2LO</w:t>
      </w:r>
      <w:r>
        <w:rPr>
          <w:b/>
          <w:iCs/>
        </w:rPr>
        <w:t xml:space="preserve"> PC3 and</w:t>
      </w:r>
      <w:r w:rsidRPr="004F3C3D">
        <w:rPr>
          <w:b/>
          <w:iCs/>
        </w:rPr>
        <w:t xml:space="preserve"> </w:t>
      </w:r>
      <w:r>
        <w:rPr>
          <w:b/>
          <w:iCs/>
        </w:rPr>
        <w:t xml:space="preserve">MPR in sections </w:t>
      </w:r>
      <w:r w:rsidRPr="007D57D6">
        <w:rPr>
          <w:b/>
          <w:iCs/>
        </w:rPr>
        <w:t>6.2A.2.2.1</w:t>
      </w:r>
      <w:r>
        <w:rPr>
          <w:b/>
          <w:iCs/>
        </w:rPr>
        <w:t xml:space="preserve"> and </w:t>
      </w:r>
      <w:r w:rsidRPr="007D57D6">
        <w:rPr>
          <w:b/>
          <w:iCs/>
        </w:rPr>
        <w:t>6.2A.2.2.1</w:t>
      </w:r>
      <w:r>
        <w:rPr>
          <w:b/>
          <w:iCs/>
        </w:rPr>
        <w:t xml:space="preserve"> and PC2 MPR in section 3.3 of way forward R4-2114948</w:t>
      </w:r>
    </w:p>
    <w:p w14:paraId="3F741BD5" w14:textId="77777777" w:rsidR="00D84157" w:rsidRPr="00A1676F" w:rsidRDefault="00D84157" w:rsidP="00D84157">
      <w:pPr>
        <w:pStyle w:val="ListParagraph"/>
        <w:numPr>
          <w:ilvl w:val="0"/>
          <w:numId w:val="35"/>
        </w:numPr>
        <w:spacing w:after="0"/>
        <w:rPr>
          <w:b/>
          <w:iCs/>
        </w:rPr>
      </w:pPr>
      <w:proofErr w:type="gramStart"/>
      <w:r w:rsidRPr="004F3C3D">
        <w:rPr>
          <w:b/>
          <w:i/>
          <w:iCs/>
        </w:rPr>
        <w:t>uplinkTxDC-TwoCarrierReport-r16</w:t>
      </w:r>
      <w:proofErr w:type="gramEnd"/>
      <w:r>
        <w:rPr>
          <w:b/>
          <w:i/>
          <w:iCs/>
        </w:rPr>
        <w:t xml:space="preserve"> </w:t>
      </w:r>
      <w:r w:rsidRPr="004F3C3D">
        <w:rPr>
          <w:b/>
          <w:iCs/>
        </w:rPr>
        <w:t xml:space="preserve">is </w:t>
      </w:r>
      <w:r>
        <w:rPr>
          <w:b/>
          <w:iCs/>
        </w:rPr>
        <w:t>not reported</w:t>
      </w:r>
      <w:r w:rsidRPr="004F3C3D">
        <w:rPr>
          <w:b/>
          <w:iCs/>
        </w:rPr>
        <w:t xml:space="preserve"> for the </w:t>
      </w:r>
      <w:r>
        <w:rPr>
          <w:b/>
          <w:iCs/>
        </w:rPr>
        <w:t>1</w:t>
      </w:r>
      <w:r w:rsidRPr="004F3C3D">
        <w:rPr>
          <w:b/>
          <w:iCs/>
        </w:rPr>
        <w:t>LO</w:t>
      </w:r>
      <w:r>
        <w:rPr>
          <w:b/>
          <w:iCs/>
        </w:rPr>
        <w:t xml:space="preserve"> architectures using 1PA (</w:t>
      </w:r>
      <w:proofErr w:type="spellStart"/>
      <w:r w:rsidRPr="00553A75">
        <w:rPr>
          <w:b/>
          <w:i/>
          <w:iCs/>
        </w:rPr>
        <w:t>TxD</w:t>
      </w:r>
      <w:proofErr w:type="spellEnd"/>
      <w:r>
        <w:rPr>
          <w:b/>
          <w:iCs/>
        </w:rPr>
        <w:t xml:space="preserve"> is not signaled) or 2x1/2 (</w:t>
      </w:r>
      <w:proofErr w:type="spellStart"/>
      <w:r w:rsidRPr="00553A75">
        <w:rPr>
          <w:b/>
          <w:i/>
          <w:iCs/>
        </w:rPr>
        <w:t>TxD</w:t>
      </w:r>
      <w:proofErr w:type="spellEnd"/>
      <w:r>
        <w:rPr>
          <w:b/>
          <w:iCs/>
        </w:rPr>
        <w:t xml:space="preserve"> is signaled) and PC2</w:t>
      </w:r>
      <w:r w:rsidRPr="004F3C3D">
        <w:rPr>
          <w:b/>
          <w:iCs/>
        </w:rPr>
        <w:t xml:space="preserve"> </w:t>
      </w:r>
      <w:r>
        <w:rPr>
          <w:b/>
          <w:iCs/>
        </w:rPr>
        <w:t>MPR in section 1.3 of way forward R4-2119955 applies.</w:t>
      </w:r>
    </w:p>
    <w:p w14:paraId="32DCA59B" w14:textId="77777777" w:rsidR="001A4213" w:rsidRDefault="001A4213" w:rsidP="00FE650D">
      <w:pPr>
        <w:spacing w:after="0"/>
        <w:jc w:val="both"/>
      </w:pPr>
    </w:p>
    <w:p w14:paraId="53B96124" w14:textId="77777777" w:rsidR="00D84157" w:rsidRPr="00E75727" w:rsidRDefault="00D84157" w:rsidP="00D84157">
      <w:pPr>
        <w:spacing w:after="0"/>
        <w:rPr>
          <w:b/>
          <w:iCs/>
        </w:rPr>
      </w:pPr>
      <w:r w:rsidRPr="00E75727">
        <w:rPr>
          <w:b/>
          <w:iCs/>
        </w:rPr>
        <w:t>Proposal on</w:t>
      </w:r>
      <w:r>
        <w:rPr>
          <w:b/>
          <w:iCs/>
        </w:rPr>
        <w:t xml:space="preserve"> 1CC </w:t>
      </w:r>
      <w:proofErr w:type="spellStart"/>
      <w:r>
        <w:rPr>
          <w:b/>
          <w:iCs/>
        </w:rPr>
        <w:t>fall-back</w:t>
      </w:r>
      <w:proofErr w:type="spellEnd"/>
      <w:r w:rsidRPr="00E75727">
        <w:rPr>
          <w:b/>
          <w:iCs/>
        </w:rPr>
        <w:t xml:space="preserve"> MPR for NC UL CA</w:t>
      </w:r>
    </w:p>
    <w:p w14:paraId="09D094DF" w14:textId="77777777" w:rsidR="00D84157" w:rsidRPr="005E5B05" w:rsidRDefault="00D84157" w:rsidP="00D84157">
      <w:pPr>
        <w:pStyle w:val="ListParagraph"/>
        <w:numPr>
          <w:ilvl w:val="0"/>
          <w:numId w:val="22"/>
        </w:numPr>
        <w:spacing w:after="0"/>
        <w:rPr>
          <w:b/>
          <w:iCs/>
        </w:rPr>
      </w:pPr>
      <w:r>
        <w:rPr>
          <w:b/>
        </w:rPr>
        <w:t>W</w:t>
      </w:r>
      <w:r w:rsidRPr="00553A75">
        <w:rPr>
          <w:b/>
        </w:rPr>
        <w:t>hen RBs are allocated only in one CC</w:t>
      </w:r>
      <w:r w:rsidRPr="005E5B05">
        <w:rPr>
          <w:b/>
          <w:iCs/>
        </w:rPr>
        <w:t xml:space="preserve"> </w:t>
      </w:r>
      <w:r>
        <w:rPr>
          <w:b/>
          <w:iCs/>
        </w:rPr>
        <w:t>the following MPR applies for PC3</w:t>
      </w:r>
      <w:r>
        <w:rPr>
          <w:b/>
        </w:rPr>
        <w:t>:</w:t>
      </w:r>
    </w:p>
    <w:p w14:paraId="21EBECFB" w14:textId="77777777" w:rsidR="00D84157" w:rsidRPr="00150C38" w:rsidRDefault="00D84157" w:rsidP="00D84157">
      <w:pPr>
        <w:pStyle w:val="ListParagraph"/>
        <w:numPr>
          <w:ilvl w:val="1"/>
          <w:numId w:val="22"/>
        </w:numPr>
        <w:spacing w:after="0"/>
        <w:rPr>
          <w:b/>
          <w:iCs/>
        </w:rPr>
      </w:pPr>
      <w:r>
        <w:rPr>
          <w:b/>
          <w:iCs/>
        </w:rPr>
        <w:t xml:space="preserve">For PC3, there is no 2Tx </w:t>
      </w:r>
      <w:proofErr w:type="gramStart"/>
      <w:r>
        <w:rPr>
          <w:b/>
          <w:iCs/>
        </w:rPr>
        <w:t>cases</w:t>
      </w:r>
      <w:proofErr w:type="gramEnd"/>
      <w:r>
        <w:rPr>
          <w:b/>
          <w:iCs/>
        </w:rPr>
        <w:t xml:space="preserve">, </w:t>
      </w:r>
      <w:r w:rsidRPr="00E92138">
        <w:rPr>
          <w:b/>
          <w:iCs/>
        </w:rPr>
        <w:t>Table</w:t>
      </w:r>
      <w:r w:rsidRPr="00E92138">
        <w:rPr>
          <w:b/>
          <w:i/>
          <w:iCs/>
        </w:rPr>
        <w:t xml:space="preserve"> </w:t>
      </w:r>
      <w:r w:rsidRPr="00E92138">
        <w:rPr>
          <w:b/>
        </w:rPr>
        <w:t>6.2.2-1 applies.</w:t>
      </w:r>
    </w:p>
    <w:p w14:paraId="72EF14F9" w14:textId="77777777" w:rsidR="00D84157" w:rsidRPr="005E5B05" w:rsidRDefault="00D84157" w:rsidP="00D84157">
      <w:pPr>
        <w:pStyle w:val="ListParagraph"/>
        <w:numPr>
          <w:ilvl w:val="0"/>
          <w:numId w:val="22"/>
        </w:numPr>
        <w:spacing w:after="0"/>
        <w:rPr>
          <w:b/>
          <w:iCs/>
        </w:rPr>
      </w:pPr>
      <w:r>
        <w:rPr>
          <w:b/>
        </w:rPr>
        <w:t>W</w:t>
      </w:r>
      <w:r w:rsidRPr="00553A75">
        <w:rPr>
          <w:b/>
        </w:rPr>
        <w:t>hen RBs are allocated only in one CC</w:t>
      </w:r>
      <w:r w:rsidRPr="005E5B05">
        <w:rPr>
          <w:b/>
          <w:iCs/>
        </w:rPr>
        <w:t xml:space="preserve"> </w:t>
      </w:r>
      <w:r>
        <w:rPr>
          <w:b/>
          <w:iCs/>
        </w:rPr>
        <w:t>the following MPR applies for PC2</w:t>
      </w:r>
      <w:r>
        <w:rPr>
          <w:b/>
        </w:rPr>
        <w:t>:</w:t>
      </w:r>
    </w:p>
    <w:p w14:paraId="590492B6" w14:textId="77777777" w:rsidR="00D84157" w:rsidRPr="00150C38" w:rsidRDefault="00D84157" w:rsidP="00D84157">
      <w:pPr>
        <w:pStyle w:val="ListParagraph"/>
        <w:numPr>
          <w:ilvl w:val="1"/>
          <w:numId w:val="22"/>
        </w:numPr>
        <w:spacing w:after="0"/>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is reported</w:t>
      </w:r>
      <w:r>
        <w:rPr>
          <w:b/>
          <w:iCs/>
        </w:rPr>
        <w:t xml:space="preserve"> </w:t>
      </w:r>
      <w:r w:rsidRPr="00150C38">
        <w:rPr>
          <w:b/>
          <w:iCs/>
        </w:rPr>
        <w:t>Table</w:t>
      </w:r>
      <w:r w:rsidRPr="00150C38">
        <w:rPr>
          <w:b/>
          <w:i/>
          <w:iCs/>
        </w:rPr>
        <w:t xml:space="preserve"> </w:t>
      </w:r>
      <w:r w:rsidRPr="00150C38">
        <w:rPr>
          <w:b/>
        </w:rPr>
        <w:t xml:space="preserve">6.2.2-2 </w:t>
      </w:r>
      <w:r>
        <w:rPr>
          <w:b/>
        </w:rPr>
        <w:t>applies</w:t>
      </w:r>
      <w:r w:rsidRPr="00150C38">
        <w:rPr>
          <w:b/>
          <w:iCs/>
        </w:rPr>
        <w:t>.</w:t>
      </w:r>
    </w:p>
    <w:p w14:paraId="1F7D2C82" w14:textId="77777777" w:rsidR="00D84157" w:rsidRPr="00150C38" w:rsidRDefault="00D84157" w:rsidP="00D84157">
      <w:pPr>
        <w:pStyle w:val="ListParagraph"/>
        <w:numPr>
          <w:ilvl w:val="1"/>
          <w:numId w:val="22"/>
        </w:numPr>
        <w:spacing w:after="0"/>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 xml:space="preserve">is </w:t>
      </w:r>
      <w:r>
        <w:rPr>
          <w:b/>
          <w:iCs/>
        </w:rPr>
        <w:t>not reported:</w:t>
      </w:r>
    </w:p>
    <w:p w14:paraId="20212948" w14:textId="77777777" w:rsidR="00D84157" w:rsidRDefault="00D84157" w:rsidP="00D84157">
      <w:pPr>
        <w:pStyle w:val="ListParagraph"/>
        <w:numPr>
          <w:ilvl w:val="2"/>
          <w:numId w:val="22"/>
        </w:numPr>
        <w:spacing w:after="0"/>
        <w:rPr>
          <w:b/>
          <w:iCs/>
        </w:rPr>
      </w:pPr>
      <w:r>
        <w:rPr>
          <w:b/>
          <w:iCs/>
        </w:rPr>
        <w:t xml:space="preserve">If </w:t>
      </w:r>
      <w:proofErr w:type="spellStart"/>
      <w:r w:rsidRPr="00553A75">
        <w:rPr>
          <w:b/>
          <w:i/>
          <w:iCs/>
        </w:rPr>
        <w:t>TxD</w:t>
      </w:r>
      <w:proofErr w:type="spellEnd"/>
      <w:r>
        <w:rPr>
          <w:b/>
          <w:iCs/>
        </w:rPr>
        <w:t xml:space="preserve"> is signaled, 2Tx PC2 table </w:t>
      </w:r>
      <w:r w:rsidRPr="00553A75">
        <w:rPr>
          <w:b/>
          <w:iCs/>
        </w:rPr>
        <w:t xml:space="preserve">in </w:t>
      </w:r>
      <w:r w:rsidRPr="00553A75">
        <w:rPr>
          <w:b/>
        </w:rPr>
        <w:t>R4-2119971 applies</w:t>
      </w:r>
    </w:p>
    <w:p w14:paraId="33396F85" w14:textId="77777777" w:rsidR="00D84157" w:rsidRPr="006D39CF" w:rsidRDefault="00D84157" w:rsidP="00D84157">
      <w:pPr>
        <w:pStyle w:val="ListParagraph"/>
        <w:numPr>
          <w:ilvl w:val="2"/>
          <w:numId w:val="22"/>
        </w:numPr>
        <w:spacing w:after="0"/>
        <w:rPr>
          <w:b/>
          <w:iCs/>
        </w:rPr>
      </w:pPr>
      <w:r>
        <w:rPr>
          <w:b/>
          <w:iCs/>
        </w:rPr>
        <w:t xml:space="preserve">If </w:t>
      </w:r>
      <w:proofErr w:type="spellStart"/>
      <w:r w:rsidRPr="00553A75">
        <w:rPr>
          <w:b/>
          <w:i/>
          <w:iCs/>
        </w:rPr>
        <w:t>TxD</w:t>
      </w:r>
      <w:proofErr w:type="spellEnd"/>
      <w:r>
        <w:rPr>
          <w:b/>
          <w:iCs/>
        </w:rPr>
        <w:t xml:space="preserve"> is not signaled, </w:t>
      </w:r>
      <w:r w:rsidRPr="007D57D6">
        <w:rPr>
          <w:b/>
          <w:iCs/>
        </w:rPr>
        <w:t>1Tx PC</w:t>
      </w:r>
      <w:r>
        <w:rPr>
          <w:b/>
          <w:iCs/>
        </w:rPr>
        <w:t>2</w:t>
      </w:r>
      <w:r w:rsidRPr="007D57D6">
        <w:rPr>
          <w:b/>
          <w:iCs/>
        </w:rPr>
        <w:t xml:space="preserve"> in Table</w:t>
      </w:r>
      <w:r w:rsidRPr="007D57D6">
        <w:rPr>
          <w:b/>
          <w:i/>
          <w:iCs/>
        </w:rPr>
        <w:t xml:space="preserve"> </w:t>
      </w:r>
      <w:r w:rsidRPr="007D57D6">
        <w:rPr>
          <w:b/>
        </w:rPr>
        <w:t>6.2.2-</w:t>
      </w:r>
      <w:r>
        <w:rPr>
          <w:b/>
        </w:rPr>
        <w:t>2 applies.</w:t>
      </w:r>
    </w:p>
    <w:p w14:paraId="24CD051E" w14:textId="77777777" w:rsidR="00DB4E38" w:rsidRDefault="00DB4E38" w:rsidP="00FE650D">
      <w:pPr>
        <w:spacing w:after="0"/>
        <w:jc w:val="both"/>
      </w:pPr>
    </w:p>
    <w:p w14:paraId="43E1BD43" w14:textId="77777777" w:rsidR="00D84157" w:rsidRPr="00A1676F" w:rsidRDefault="00D84157" w:rsidP="00D84157">
      <w:pPr>
        <w:spacing w:after="0"/>
        <w:rPr>
          <w:b/>
          <w:iCs/>
        </w:rPr>
      </w:pPr>
      <w:r w:rsidRPr="00A1676F">
        <w:rPr>
          <w:b/>
          <w:iCs/>
        </w:rPr>
        <w:t>Proposal on NC ULCA+MIMO: If NC ULCA+MIMO is not pursued in Release 17, we recommend that it be on the agenda for Release 18</w:t>
      </w:r>
      <w:r>
        <w:rPr>
          <w:b/>
          <w:iCs/>
        </w:rPr>
        <w:t xml:space="preserve"> for discussion</w:t>
      </w:r>
      <w:r w:rsidRPr="00A1676F">
        <w:rPr>
          <w:b/>
          <w:iCs/>
        </w:rPr>
        <w:t xml:space="preserve">, as 2x1 architectures are common in TDD bands above </w:t>
      </w:r>
      <w:r>
        <w:rPr>
          <w:b/>
          <w:iCs/>
        </w:rPr>
        <w:t>2.5</w:t>
      </w:r>
      <w:r w:rsidRPr="00A1676F">
        <w:rPr>
          <w:b/>
          <w:iCs/>
        </w:rPr>
        <w:t>GHz</w:t>
      </w:r>
      <w:r>
        <w:rPr>
          <w:b/>
          <w:iCs/>
        </w:rPr>
        <w:t xml:space="preserve"> and offer de facto to support such feature</w:t>
      </w:r>
      <w:r w:rsidRPr="00A1676F">
        <w:rPr>
          <w:b/>
          <w:iCs/>
        </w:rPr>
        <w:t>.</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612F7C88" w14:textId="379F1227" w:rsidR="004D3754" w:rsidRPr="00223174" w:rsidRDefault="004D3754" w:rsidP="00F91A55">
      <w:pPr>
        <w:pStyle w:val="ListParagraph"/>
        <w:widowControl w:val="0"/>
        <w:numPr>
          <w:ilvl w:val="0"/>
          <w:numId w:val="11"/>
        </w:numPr>
        <w:snapToGrid w:val="0"/>
      </w:pPr>
      <w:r w:rsidRPr="004D3754">
        <w:t>R4-2119955</w:t>
      </w:r>
      <w:r>
        <w:t xml:space="preserve"> </w:t>
      </w:r>
      <w:r w:rsidRPr="004D3754">
        <w:t>W</w:t>
      </w:r>
      <w:r>
        <w:t>F on intra-band NC UL CA for FR1</w:t>
      </w:r>
      <w:r>
        <w:rPr>
          <w:lang w:val="en-GB" w:eastAsia="zh-CN"/>
        </w:rPr>
        <w:t>,</w:t>
      </w:r>
      <w:r w:rsidR="00026936">
        <w:rPr>
          <w:lang w:val="en-GB" w:eastAsia="zh-CN"/>
        </w:rPr>
        <w:t xml:space="preserve"> Skyworks Solutions Inc.,</w:t>
      </w:r>
      <w:r>
        <w:rPr>
          <w:lang w:val="en-GB" w:eastAsia="zh-CN"/>
        </w:rPr>
        <w:t xml:space="preserve"> RAN4#101e</w:t>
      </w:r>
    </w:p>
    <w:p w14:paraId="17F5C305" w14:textId="3AC920C3" w:rsidR="00223174" w:rsidRDefault="00223174" w:rsidP="005E5B05">
      <w:pPr>
        <w:pStyle w:val="ListParagraph"/>
        <w:widowControl w:val="0"/>
        <w:numPr>
          <w:ilvl w:val="0"/>
          <w:numId w:val="11"/>
        </w:numPr>
        <w:snapToGrid w:val="0"/>
      </w:pPr>
      <w:r w:rsidRPr="005E5B05">
        <w:rPr>
          <w:lang w:val="en-GB" w:eastAsia="zh-CN"/>
        </w:rPr>
        <w:t>R4-220</w:t>
      </w:r>
      <w:r w:rsidR="005E5B05" w:rsidRPr="005E5B05">
        <w:rPr>
          <w:lang w:val="en-GB" w:eastAsia="zh-CN"/>
        </w:rPr>
        <w:t>0499</w:t>
      </w:r>
      <w:r>
        <w:rPr>
          <w:lang w:val="en-GB" w:eastAsia="zh-CN"/>
        </w:rPr>
        <w:t xml:space="preserve"> </w:t>
      </w:r>
      <w:r w:rsidR="005E5B05" w:rsidRPr="005E5B05">
        <w:rPr>
          <w:rFonts w:cs="Arial"/>
          <w:sz w:val="22"/>
        </w:rPr>
        <w:t>Requirement and signaling aspect of features requiring two transmit paths</w:t>
      </w:r>
      <w:r>
        <w:t xml:space="preserve">, </w:t>
      </w:r>
      <w:r w:rsidRPr="00F87AB1">
        <w:t>Skyworks Solutions Inc.</w:t>
      </w:r>
      <w:r>
        <w:t>, RAN4#101b-e</w:t>
      </w:r>
    </w:p>
    <w:sectPr w:rsidR="00223174"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CCE43" w14:textId="77777777" w:rsidR="009C5716" w:rsidRDefault="009C5716">
      <w:r>
        <w:separator/>
      </w:r>
    </w:p>
  </w:endnote>
  <w:endnote w:type="continuationSeparator" w:id="0">
    <w:p w14:paraId="0389A698" w14:textId="77777777" w:rsidR="009C5716" w:rsidRDefault="009C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70FA0" w14:textId="77777777" w:rsidR="009C5716" w:rsidRDefault="009C5716">
      <w:r>
        <w:separator/>
      </w:r>
    </w:p>
  </w:footnote>
  <w:footnote w:type="continuationSeparator" w:id="0">
    <w:p w14:paraId="06B6073B" w14:textId="77777777" w:rsidR="009C5716" w:rsidRDefault="009C5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980"/>
        </w:tabs>
        <w:ind w:left="198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6A54EF"/>
    <w:multiLevelType w:val="hybridMultilevel"/>
    <w:tmpl w:val="2F2AE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A47208"/>
    <w:multiLevelType w:val="hybridMultilevel"/>
    <w:tmpl w:val="C90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35"/>
  </w:num>
  <w:num w:numId="5">
    <w:abstractNumId w:val="14"/>
  </w:num>
  <w:num w:numId="6">
    <w:abstractNumId w:val="2"/>
  </w:num>
  <w:num w:numId="7">
    <w:abstractNumId w:val="20"/>
  </w:num>
  <w:num w:numId="8">
    <w:abstractNumId w:val="32"/>
  </w:num>
  <w:num w:numId="9">
    <w:abstractNumId w:val="34"/>
  </w:num>
  <w:num w:numId="10">
    <w:abstractNumId w:val="1"/>
  </w:num>
  <w:num w:numId="11">
    <w:abstractNumId w:val="7"/>
  </w:num>
  <w:num w:numId="12">
    <w:abstractNumId w:val="27"/>
  </w:num>
  <w:num w:numId="13">
    <w:abstractNumId w:val="0"/>
  </w:num>
  <w:num w:numId="14">
    <w:abstractNumId w:val="3"/>
  </w:num>
  <w:num w:numId="15">
    <w:abstractNumId w:val="24"/>
  </w:num>
  <w:num w:numId="16">
    <w:abstractNumId w:val="31"/>
  </w:num>
  <w:num w:numId="17">
    <w:abstractNumId w:val="16"/>
  </w:num>
  <w:num w:numId="18">
    <w:abstractNumId w:val="12"/>
  </w:num>
  <w:num w:numId="19">
    <w:abstractNumId w:val="26"/>
  </w:num>
  <w:num w:numId="20">
    <w:abstractNumId w:val="9"/>
  </w:num>
  <w:num w:numId="21">
    <w:abstractNumId w:val="29"/>
  </w:num>
  <w:num w:numId="22">
    <w:abstractNumId w:val="23"/>
  </w:num>
  <w:num w:numId="23">
    <w:abstractNumId w:val="33"/>
  </w:num>
  <w:num w:numId="24">
    <w:abstractNumId w:val="5"/>
  </w:num>
  <w:num w:numId="25">
    <w:abstractNumId w:val="6"/>
  </w:num>
  <w:num w:numId="26">
    <w:abstractNumId w:val="8"/>
  </w:num>
  <w:num w:numId="27">
    <w:abstractNumId w:val="28"/>
  </w:num>
  <w:num w:numId="28">
    <w:abstractNumId w:val="13"/>
  </w:num>
  <w:num w:numId="29">
    <w:abstractNumId w:val="15"/>
  </w:num>
  <w:num w:numId="30">
    <w:abstractNumId w:val="10"/>
  </w:num>
  <w:num w:numId="31">
    <w:abstractNumId w:val="11"/>
  </w:num>
  <w:num w:numId="32">
    <w:abstractNumId w:val="18"/>
  </w:num>
  <w:num w:numId="33">
    <w:abstractNumId w:val="30"/>
  </w:num>
  <w:num w:numId="34">
    <w:abstractNumId w:val="21"/>
  </w:num>
  <w:num w:numId="35">
    <w:abstractNumId w:val="22"/>
  </w:num>
  <w:num w:numId="3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C38"/>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869"/>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13"/>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265"/>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174"/>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084"/>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3CD4"/>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3C3D"/>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B05"/>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151"/>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22"/>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6A2"/>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BA8"/>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716"/>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67"/>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76F"/>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33B"/>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08"/>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57"/>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198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198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1D72-7D94-4E4F-93CF-A9D205E11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TotalTime>
  <Pages>2</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6144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2022-01-09T15:28:00Z</dcterms:created>
  <dcterms:modified xsi:type="dcterms:W3CDTF">2022-01-10T20:07:00Z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